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31" w:rsidRDefault="001D3C31" w:rsidP="000B189E">
      <w:pPr>
        <w:jc w:val="center"/>
        <w:rPr>
          <w:b/>
          <w:sz w:val="32"/>
        </w:rPr>
      </w:pPr>
      <w:bookmarkStart w:id="0" w:name="_GoBack"/>
      <w:bookmarkEnd w:id="0"/>
    </w:p>
    <w:p w:rsidR="001D3C31" w:rsidRDefault="001D3C31" w:rsidP="000B189E">
      <w:pPr>
        <w:jc w:val="center"/>
        <w:rPr>
          <w:b/>
          <w:sz w:val="32"/>
        </w:rPr>
      </w:pPr>
    </w:p>
    <w:p w:rsidR="001355C8" w:rsidRPr="001D3C31" w:rsidRDefault="001355C8" w:rsidP="001D3C31">
      <w:pPr>
        <w:jc w:val="center"/>
        <w:rPr>
          <w:b/>
          <w:sz w:val="32"/>
        </w:rPr>
      </w:pPr>
      <w:r w:rsidRPr="000B189E">
        <w:rPr>
          <w:b/>
          <w:sz w:val="32"/>
        </w:rPr>
        <w:t>SMAC Ranking Committee Overview of Scoring/Ranking Process</w:t>
      </w:r>
    </w:p>
    <w:p w:rsidR="000B189E" w:rsidRDefault="000B189E"/>
    <w:p w:rsidR="003D5FA4" w:rsidRDefault="003D5FA4">
      <w:r>
        <w:t xml:space="preserve">The following describes the process used by the SMAC ranking committee to </w:t>
      </w:r>
      <w:r w:rsidR="00CF762A">
        <w:t>score and rank projects for 2015</w:t>
      </w:r>
      <w:r>
        <w:t xml:space="preserve"> CoC funding.  It should be noted that the Ranking Committee used “scoring” and “ranking” as two distinct steps.  Scoring informed but did not dictate the final ranking decisions.  Where ranking and scoring did not correlate, the Ranking Committee provided comments to indicate why the project was ranked in their position. </w:t>
      </w:r>
    </w:p>
    <w:p w:rsidR="003D5FA4" w:rsidRDefault="003D5FA4"/>
    <w:p w:rsidR="00CF762A" w:rsidRDefault="00CF762A">
      <w:r>
        <w:t>7/1/15</w:t>
      </w:r>
      <w:r>
        <w:tab/>
      </w:r>
      <w:r>
        <w:tab/>
        <w:t>Pre-applications due to SMAC coordinators</w:t>
      </w:r>
    </w:p>
    <w:p w:rsidR="00CF762A" w:rsidRDefault="00CF762A"/>
    <w:p w:rsidR="00CF762A" w:rsidRDefault="00CF762A">
      <w:r>
        <w:t>10/1/15</w:t>
      </w:r>
      <w:r>
        <w:tab/>
        <w:t>Ranking Committee Meeting #1: Pre-applications scored, ranked, and selected</w:t>
      </w:r>
    </w:p>
    <w:p w:rsidR="00CF762A" w:rsidRDefault="00CF762A" w:rsidP="00CF762A">
      <w:pPr>
        <w:pStyle w:val="ListParagraph"/>
        <w:numPr>
          <w:ilvl w:val="0"/>
          <w:numId w:val="5"/>
        </w:numPr>
      </w:pPr>
      <w:r w:rsidRPr="00490B94">
        <w:rPr>
          <w:u w:val="single"/>
        </w:rPr>
        <w:t>In Attendance</w:t>
      </w:r>
      <w:r w:rsidR="00490B94">
        <w:t>:</w:t>
      </w:r>
      <w:r>
        <w:t xml:space="preserve"> Jeremy Galley, Courtney Knoll, Abby Guilford, Michele Reid, Mike Manhard, Mallory Birch, Dana Scarlett</w:t>
      </w:r>
    </w:p>
    <w:p w:rsidR="00CF762A" w:rsidRDefault="00CF762A" w:rsidP="00CF762A">
      <w:pPr>
        <w:pStyle w:val="ListParagraph"/>
        <w:numPr>
          <w:ilvl w:val="0"/>
          <w:numId w:val="5"/>
        </w:numPr>
      </w:pPr>
      <w:r>
        <w:t>Process</w:t>
      </w:r>
    </w:p>
    <w:p w:rsidR="00CF762A" w:rsidRDefault="00666D86" w:rsidP="00CF762A">
      <w:pPr>
        <w:pStyle w:val="ListParagraph"/>
        <w:numPr>
          <w:ilvl w:val="1"/>
          <w:numId w:val="5"/>
        </w:numPr>
      </w:pPr>
      <w:r>
        <w:t>SMAC had outlined priorities for funding Coordinated Entry, youth projects and projects that served the whole region.</w:t>
      </w:r>
    </w:p>
    <w:p w:rsidR="00666D86" w:rsidRDefault="00666D86" w:rsidP="00CF762A">
      <w:pPr>
        <w:pStyle w:val="ListParagraph"/>
        <w:numPr>
          <w:ilvl w:val="1"/>
          <w:numId w:val="5"/>
        </w:numPr>
      </w:pPr>
      <w:r>
        <w:t>The Link had the highest scoring project and aligned with the priority for a youth project.</w:t>
      </w:r>
    </w:p>
    <w:p w:rsidR="00666D86" w:rsidRDefault="00666D86" w:rsidP="00CF762A">
      <w:pPr>
        <w:pStyle w:val="ListParagraph"/>
        <w:numPr>
          <w:ilvl w:val="1"/>
          <w:numId w:val="5"/>
        </w:numPr>
      </w:pPr>
      <w:r>
        <w:t>LSS Streetworks was selected as the Coordinated Entry project based on score.  The proposal also outlines a model that will serve SMAC as a region.</w:t>
      </w:r>
    </w:p>
    <w:p w:rsidR="00CF762A" w:rsidRDefault="00F13377">
      <w:r>
        <w:t>Pre-application Final Ranking</w:t>
      </w:r>
    </w:p>
    <w:tbl>
      <w:tblPr>
        <w:tblW w:w="10800" w:type="dxa"/>
        <w:tblInd w:w="-5" w:type="dxa"/>
        <w:tblLook w:val="04A0" w:firstRow="1" w:lastRow="0" w:firstColumn="1" w:lastColumn="0" w:noHBand="0" w:noVBand="1"/>
      </w:tblPr>
      <w:tblGrid>
        <w:gridCol w:w="739"/>
        <w:gridCol w:w="720"/>
        <w:gridCol w:w="2227"/>
        <w:gridCol w:w="463"/>
        <w:gridCol w:w="2096"/>
        <w:gridCol w:w="595"/>
        <w:gridCol w:w="3960"/>
      </w:tblGrid>
      <w:tr w:rsidR="00F13377" w:rsidRPr="00014F72" w:rsidTr="00C555EA">
        <w:trPr>
          <w:trHeight w:val="315"/>
          <w:tblHeader/>
        </w:trPr>
        <w:tc>
          <w:tcPr>
            <w:tcW w:w="73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13377" w:rsidRPr="00F15EDF" w:rsidRDefault="00C555EA" w:rsidP="00F13377">
            <w:pPr>
              <w:jc w:val="center"/>
              <w:rPr>
                <w:rFonts w:eastAsia="Times New Roman" w:cs="Times New Roman"/>
                <w:b/>
              </w:rPr>
            </w:pPr>
            <w:r>
              <w:rPr>
                <w:rFonts w:eastAsia="Times New Roman" w:cs="Times New Roman"/>
                <w:b/>
              </w:rPr>
              <w:t>RANK</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13377" w:rsidRPr="00F15EDF" w:rsidRDefault="00C555EA" w:rsidP="00F13377">
            <w:pPr>
              <w:jc w:val="center"/>
              <w:rPr>
                <w:rFonts w:eastAsia="Times New Roman" w:cs="Times New Roman"/>
                <w:b/>
              </w:rPr>
            </w:pPr>
            <w:r>
              <w:rPr>
                <w:rFonts w:eastAsia="Times New Roman" w:cs="Times New Roman"/>
                <w:b/>
              </w:rPr>
              <w:t>Score</w:t>
            </w:r>
          </w:p>
        </w:tc>
        <w:tc>
          <w:tcPr>
            <w:tcW w:w="222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13377" w:rsidRPr="00F15EDF" w:rsidRDefault="00F13377" w:rsidP="00F13377">
            <w:pPr>
              <w:jc w:val="center"/>
              <w:rPr>
                <w:rFonts w:eastAsia="Times New Roman" w:cs="Times New Roman"/>
                <w:b/>
              </w:rPr>
            </w:pPr>
            <w:r w:rsidRPr="00014F72">
              <w:rPr>
                <w:rFonts w:eastAsia="Times New Roman" w:cs="Times New Roman"/>
                <w:b/>
              </w:rPr>
              <w:t>Agency</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13377" w:rsidRPr="00F15EDF" w:rsidRDefault="00F13377" w:rsidP="00F13377">
            <w:pPr>
              <w:jc w:val="center"/>
              <w:rPr>
                <w:rFonts w:eastAsia="Times New Roman" w:cs="Times New Roman"/>
                <w:b/>
              </w:rPr>
            </w:pPr>
            <w:r w:rsidRPr="00014F72">
              <w:rPr>
                <w:rFonts w:eastAsia="Times New Roman" w:cs="Times New Roman"/>
                <w:b/>
              </w:rPr>
              <w:t>Project</w:t>
            </w:r>
          </w:p>
        </w:tc>
        <w:tc>
          <w:tcPr>
            <w:tcW w:w="455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13377" w:rsidRPr="00F15EDF" w:rsidRDefault="00F13377" w:rsidP="00F13377">
            <w:pPr>
              <w:jc w:val="center"/>
              <w:rPr>
                <w:rFonts w:eastAsia="Times New Roman" w:cs="Times New Roman"/>
                <w:b/>
              </w:rPr>
            </w:pPr>
            <w:r w:rsidRPr="00014F72">
              <w:rPr>
                <w:rFonts w:eastAsia="Times New Roman" w:cs="Times New Roman"/>
                <w:b/>
              </w:rPr>
              <w:t>Comments</w:t>
            </w:r>
          </w:p>
        </w:tc>
      </w:tr>
      <w:tr w:rsidR="00C555EA" w:rsidRPr="00C555EA" w:rsidTr="008D2F69">
        <w:trPr>
          <w:trHeight w:val="315"/>
          <w:tblHeader/>
        </w:trPr>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555EA" w:rsidRPr="00C555EA" w:rsidRDefault="00C555EA" w:rsidP="008D2F69">
            <w:pPr>
              <w:rPr>
                <w:rFonts w:eastAsia="Times New Roman" w:cs="Times New Roman"/>
                <w:sz w:val="18"/>
              </w:rPr>
            </w:pPr>
          </w:p>
        </w:tc>
        <w:tc>
          <w:tcPr>
            <w:tcW w:w="61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5EA" w:rsidRPr="00C555EA" w:rsidRDefault="00C555EA" w:rsidP="008D2F69">
            <w:pPr>
              <w:rPr>
                <w:rFonts w:eastAsia="Times New Roman" w:cs="Times New Roman"/>
                <w:sz w:val="18"/>
              </w:rPr>
            </w:pPr>
            <w:r>
              <w:rPr>
                <w:rFonts w:eastAsia="Times New Roman" w:cs="Times New Roman"/>
                <w:sz w:val="18"/>
              </w:rPr>
              <w:t>Selected Projects</w:t>
            </w:r>
          </w:p>
        </w:tc>
        <w:tc>
          <w:tcPr>
            <w:tcW w:w="3960" w:type="dxa"/>
            <w:vMerge w:val="restart"/>
            <w:tcBorders>
              <w:top w:val="single" w:sz="4" w:space="0" w:color="auto"/>
              <w:left w:val="single" w:sz="4" w:space="0" w:color="auto"/>
              <w:right w:val="single" w:sz="4" w:space="0" w:color="auto"/>
            </w:tcBorders>
            <w:shd w:val="clear" w:color="auto" w:fill="FFFFFF" w:themeFill="background1"/>
            <w:vAlign w:val="bottom"/>
            <w:hideMark/>
          </w:tcPr>
          <w:p w:rsidR="00C555EA" w:rsidRPr="00C555EA" w:rsidRDefault="00C555EA" w:rsidP="008D2F69">
            <w:pPr>
              <w:rPr>
                <w:rFonts w:eastAsia="Times New Roman" w:cs="Times New Roman"/>
                <w:i/>
                <w:sz w:val="18"/>
              </w:rPr>
            </w:pPr>
            <w:r w:rsidRPr="00C555EA">
              <w:rPr>
                <w:rFonts w:eastAsia="Times New Roman" w:cs="Times New Roman"/>
                <w:i/>
                <w:sz w:val="18"/>
              </w:rPr>
              <w:t>Rationale provided only for the projects that ranked differently than they had scored.</w:t>
            </w:r>
          </w:p>
        </w:tc>
      </w:tr>
      <w:tr w:rsidR="00C555EA" w:rsidRPr="00C555EA" w:rsidTr="008D2F69">
        <w:trPr>
          <w:trHeight w:val="315"/>
          <w:tblHeader/>
        </w:trPr>
        <w:tc>
          <w:tcPr>
            <w:tcW w:w="73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555EA" w:rsidRPr="00C555EA" w:rsidRDefault="00C555EA" w:rsidP="008D2F69">
            <w:pPr>
              <w:rPr>
                <w:rFonts w:eastAsia="Times New Roman" w:cs="Times New Roman"/>
                <w:sz w:val="18"/>
              </w:rPr>
            </w:pPr>
          </w:p>
        </w:tc>
        <w:tc>
          <w:tcPr>
            <w:tcW w:w="61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5EA" w:rsidRPr="00C555EA" w:rsidRDefault="00C555EA" w:rsidP="008D2F69">
            <w:pPr>
              <w:rPr>
                <w:rFonts w:eastAsia="Times New Roman" w:cs="Times New Roman"/>
                <w:sz w:val="18"/>
              </w:rPr>
            </w:pPr>
            <w:r>
              <w:rPr>
                <w:rFonts w:eastAsia="Times New Roman" w:cs="Times New Roman"/>
                <w:sz w:val="18"/>
              </w:rPr>
              <w:t>Not selected, but invited to apply</w:t>
            </w:r>
          </w:p>
        </w:tc>
        <w:tc>
          <w:tcPr>
            <w:tcW w:w="3960" w:type="dxa"/>
            <w:vMerge/>
            <w:tcBorders>
              <w:left w:val="single" w:sz="4" w:space="0" w:color="auto"/>
              <w:right w:val="single" w:sz="4" w:space="0" w:color="auto"/>
            </w:tcBorders>
            <w:shd w:val="clear" w:color="auto" w:fill="FFFFFF" w:themeFill="background1"/>
            <w:vAlign w:val="center"/>
            <w:hideMark/>
          </w:tcPr>
          <w:p w:rsidR="00C555EA" w:rsidRPr="00C555EA" w:rsidRDefault="00C555EA" w:rsidP="008D2F69">
            <w:pPr>
              <w:rPr>
                <w:rFonts w:eastAsia="Times New Roman" w:cs="Times New Roman"/>
                <w:i/>
                <w:sz w:val="18"/>
              </w:rPr>
            </w:pPr>
          </w:p>
        </w:tc>
      </w:tr>
      <w:tr w:rsidR="00F13377" w:rsidRPr="00F15EDF" w:rsidTr="00D9141A">
        <w:trPr>
          <w:trHeight w:val="315"/>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F13377" w:rsidRPr="00F15EDF" w:rsidRDefault="00F13377" w:rsidP="00F13377">
            <w:pPr>
              <w:rPr>
                <w:rFonts w:eastAsia="Times New Roman" w:cs="Times New Roman"/>
              </w:rPr>
            </w:pPr>
            <w:r>
              <w:rPr>
                <w:rFonts w:eastAsia="Times New Roman" w:cs="Times New Roman"/>
              </w:rPr>
              <w:t>1</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F13377" w:rsidRPr="00F15EDF" w:rsidRDefault="00666D86" w:rsidP="00F13377">
            <w:pPr>
              <w:rPr>
                <w:rFonts w:eastAsia="Times New Roman" w:cs="Times New Roman"/>
              </w:rPr>
            </w:pPr>
            <w:r>
              <w:rPr>
                <w:rFonts w:eastAsia="Times New Roman" w:cs="Times New Roman"/>
              </w:rPr>
              <w:t>1</w:t>
            </w:r>
          </w:p>
        </w:tc>
        <w:tc>
          <w:tcPr>
            <w:tcW w:w="26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3377" w:rsidRPr="00F75C91" w:rsidRDefault="00666D86" w:rsidP="00F13377">
            <w:pPr>
              <w:rPr>
                <w:rFonts w:eastAsia="Times New Roman" w:cs="Times New Roman"/>
                <w:b/>
                <w:bCs/>
                <w:sz w:val="20"/>
                <w:szCs w:val="20"/>
              </w:rPr>
            </w:pPr>
            <w:r>
              <w:rPr>
                <w:rFonts w:eastAsia="Times New Roman" w:cs="Times New Roman"/>
                <w:b/>
                <w:bCs/>
                <w:sz w:val="20"/>
                <w:szCs w:val="20"/>
              </w:rPr>
              <w:t>The Link</w:t>
            </w:r>
          </w:p>
        </w:tc>
        <w:tc>
          <w:tcPr>
            <w:tcW w:w="26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13377" w:rsidRPr="00F75C91" w:rsidRDefault="00666D86" w:rsidP="00F13377">
            <w:pPr>
              <w:rPr>
                <w:rFonts w:eastAsia="Times New Roman" w:cs="Times New Roman"/>
                <w:b/>
                <w:sz w:val="20"/>
                <w:szCs w:val="20"/>
              </w:rPr>
            </w:pPr>
            <w:r>
              <w:rPr>
                <w:rFonts w:eastAsia="Times New Roman" w:cs="Times New Roman"/>
                <w:b/>
                <w:sz w:val="20"/>
                <w:szCs w:val="20"/>
              </w:rPr>
              <w:t>RRH</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3377" w:rsidRPr="00127F8E" w:rsidRDefault="00782117" w:rsidP="00F13377">
            <w:pPr>
              <w:rPr>
                <w:rFonts w:eastAsia="Times New Roman" w:cs="Times New Roman"/>
                <w:sz w:val="20"/>
              </w:rPr>
            </w:pPr>
            <w:r>
              <w:rPr>
                <w:rFonts w:eastAsia="Times New Roman" w:cs="Times New Roman"/>
                <w:color w:val="000000"/>
                <w:sz w:val="20"/>
              </w:rPr>
              <w:t>Selected for Bonus Project</w:t>
            </w:r>
          </w:p>
        </w:tc>
      </w:tr>
      <w:tr w:rsidR="00F13377" w:rsidRPr="00F15EDF" w:rsidTr="00D9141A">
        <w:trPr>
          <w:trHeight w:val="315"/>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F13377" w:rsidRPr="00F15EDF" w:rsidRDefault="00F13377" w:rsidP="00F13377">
            <w:pPr>
              <w:rPr>
                <w:rFonts w:eastAsia="Times New Roman" w:cs="Times New Roman"/>
              </w:rPr>
            </w:pPr>
            <w:r>
              <w:rPr>
                <w:rFonts w:eastAsia="Times New Roman" w:cs="Times New Roman"/>
              </w:rPr>
              <w:t>2</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F13377" w:rsidRPr="00F15EDF" w:rsidRDefault="00666D86" w:rsidP="00F13377">
            <w:pPr>
              <w:rPr>
                <w:rFonts w:eastAsia="Times New Roman" w:cs="Times New Roman"/>
                <w:color w:val="000000"/>
              </w:rPr>
            </w:pPr>
            <w:r>
              <w:rPr>
                <w:rFonts w:eastAsia="Times New Roman" w:cs="Times New Roman"/>
                <w:color w:val="000000"/>
              </w:rPr>
              <w:t>2</w:t>
            </w:r>
          </w:p>
        </w:tc>
        <w:tc>
          <w:tcPr>
            <w:tcW w:w="26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3377" w:rsidRPr="00F75C91" w:rsidRDefault="00666D86" w:rsidP="00F13377">
            <w:pPr>
              <w:rPr>
                <w:rFonts w:eastAsia="Times New Roman" w:cs="Times New Roman"/>
                <w:b/>
                <w:bCs/>
                <w:sz w:val="20"/>
                <w:szCs w:val="20"/>
              </w:rPr>
            </w:pPr>
            <w:r>
              <w:rPr>
                <w:rFonts w:eastAsia="Times New Roman" w:cs="Times New Roman"/>
                <w:b/>
                <w:bCs/>
                <w:sz w:val="20"/>
                <w:szCs w:val="20"/>
              </w:rPr>
              <w:t>LSS Streetworks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13377" w:rsidRPr="00F75C91" w:rsidRDefault="00666D86" w:rsidP="00F13377">
            <w:pPr>
              <w:rPr>
                <w:rFonts w:eastAsia="Times New Roman" w:cs="Times New Roman"/>
                <w:b/>
                <w:sz w:val="20"/>
                <w:szCs w:val="20"/>
              </w:rPr>
            </w:pPr>
            <w:r>
              <w:rPr>
                <w:rFonts w:eastAsia="Times New Roman" w:cs="Times New Roman"/>
                <w:b/>
                <w:sz w:val="20"/>
                <w:szCs w:val="20"/>
              </w:rPr>
              <w:t>Coordinated Entry</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3377" w:rsidRPr="00127F8E" w:rsidRDefault="00782117" w:rsidP="00F13377">
            <w:pPr>
              <w:rPr>
                <w:rFonts w:eastAsia="Times New Roman" w:cs="Times New Roman"/>
                <w:sz w:val="20"/>
              </w:rPr>
            </w:pPr>
            <w:r>
              <w:rPr>
                <w:rFonts w:eastAsia="Times New Roman" w:cs="Times New Roman"/>
                <w:color w:val="000000"/>
                <w:sz w:val="20"/>
              </w:rPr>
              <w:t>Selected for funding through reallocation</w:t>
            </w:r>
          </w:p>
        </w:tc>
      </w:tr>
      <w:tr w:rsidR="00F13377" w:rsidRPr="00F15EDF" w:rsidTr="00D9141A">
        <w:trPr>
          <w:trHeight w:val="300"/>
        </w:trPr>
        <w:tc>
          <w:tcPr>
            <w:tcW w:w="739" w:type="dxa"/>
            <w:tcBorders>
              <w:top w:val="nil"/>
              <w:left w:val="single" w:sz="4" w:space="0" w:color="auto"/>
              <w:bottom w:val="single" w:sz="4" w:space="0" w:color="auto"/>
              <w:right w:val="single" w:sz="4" w:space="0" w:color="auto"/>
            </w:tcBorders>
            <w:shd w:val="clear" w:color="auto" w:fill="F7CAAC" w:themeFill="accent2" w:themeFillTint="66"/>
            <w:vAlign w:val="center"/>
          </w:tcPr>
          <w:p w:rsidR="00F13377" w:rsidRPr="00F15EDF" w:rsidRDefault="00F13377" w:rsidP="00F13377">
            <w:pPr>
              <w:rPr>
                <w:rFonts w:eastAsia="Times New Roman" w:cs="Times New Roman"/>
                <w:color w:val="000000"/>
              </w:rPr>
            </w:pPr>
            <w:r>
              <w:rPr>
                <w:rFonts w:eastAsia="Times New Roman" w:cs="Times New Roman"/>
                <w:color w:val="000000"/>
              </w:rPr>
              <w:t>3</w:t>
            </w:r>
          </w:p>
        </w:tc>
        <w:tc>
          <w:tcPr>
            <w:tcW w:w="720" w:type="dxa"/>
            <w:tcBorders>
              <w:top w:val="nil"/>
              <w:left w:val="single" w:sz="4" w:space="0" w:color="auto"/>
              <w:bottom w:val="single" w:sz="4" w:space="0" w:color="auto"/>
              <w:right w:val="single" w:sz="4" w:space="0" w:color="auto"/>
            </w:tcBorders>
            <w:shd w:val="clear" w:color="auto" w:fill="F7CAAC" w:themeFill="accent2" w:themeFillTint="66"/>
            <w:vAlign w:val="center"/>
          </w:tcPr>
          <w:p w:rsidR="00F13377" w:rsidRPr="00F15EDF" w:rsidRDefault="00666D86" w:rsidP="00F13377">
            <w:pPr>
              <w:rPr>
                <w:rFonts w:eastAsia="Times New Roman" w:cs="Times New Roman"/>
              </w:rPr>
            </w:pPr>
            <w:r>
              <w:rPr>
                <w:rFonts w:eastAsia="Times New Roman" w:cs="Times New Roman"/>
              </w:rPr>
              <w:t>3</w:t>
            </w:r>
          </w:p>
        </w:tc>
        <w:tc>
          <w:tcPr>
            <w:tcW w:w="269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13377" w:rsidRPr="00F75C91" w:rsidRDefault="00666D86" w:rsidP="00F13377">
            <w:pPr>
              <w:rPr>
                <w:rFonts w:eastAsia="Times New Roman" w:cs="Times New Roman"/>
                <w:b/>
                <w:bCs/>
                <w:sz w:val="20"/>
                <w:szCs w:val="20"/>
              </w:rPr>
            </w:pPr>
            <w:r>
              <w:rPr>
                <w:rFonts w:eastAsia="Times New Roman" w:cs="Times New Roman"/>
                <w:b/>
                <w:bCs/>
                <w:sz w:val="20"/>
                <w:szCs w:val="20"/>
              </w:rPr>
              <w:t>Commonbond</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13377" w:rsidRPr="00F75C91" w:rsidRDefault="00666D86" w:rsidP="00F13377">
            <w:pPr>
              <w:rPr>
                <w:rFonts w:eastAsia="Times New Roman" w:cs="Times New Roman"/>
                <w:b/>
                <w:sz w:val="20"/>
                <w:szCs w:val="20"/>
              </w:rPr>
            </w:pPr>
            <w:r>
              <w:rPr>
                <w:rFonts w:eastAsia="Times New Roman" w:cs="Times New Roman"/>
                <w:b/>
                <w:sz w:val="20"/>
                <w:szCs w:val="20"/>
              </w:rPr>
              <w:t>PSH</w:t>
            </w:r>
          </w:p>
        </w:tc>
        <w:tc>
          <w:tcPr>
            <w:tcW w:w="39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13377" w:rsidRPr="00127F8E" w:rsidRDefault="00F13377" w:rsidP="00F13377">
            <w:pPr>
              <w:rPr>
                <w:rFonts w:eastAsia="Times New Roman" w:cs="Times New Roman"/>
                <w:color w:val="000000"/>
                <w:sz w:val="20"/>
              </w:rPr>
            </w:pPr>
            <w:r w:rsidRPr="00127F8E">
              <w:rPr>
                <w:rFonts w:eastAsia="Times New Roman" w:cs="Times New Roman"/>
                <w:color w:val="000000"/>
                <w:sz w:val="20"/>
              </w:rPr>
              <w:t>No Comment</w:t>
            </w:r>
          </w:p>
        </w:tc>
      </w:tr>
      <w:tr w:rsidR="00F13377" w:rsidRPr="00F15EDF" w:rsidTr="00D9141A">
        <w:trPr>
          <w:trHeight w:val="315"/>
        </w:trPr>
        <w:tc>
          <w:tcPr>
            <w:tcW w:w="739" w:type="dxa"/>
            <w:tcBorders>
              <w:top w:val="nil"/>
              <w:left w:val="single" w:sz="4" w:space="0" w:color="auto"/>
              <w:bottom w:val="single" w:sz="4" w:space="0" w:color="auto"/>
              <w:right w:val="single" w:sz="4" w:space="0" w:color="auto"/>
            </w:tcBorders>
            <w:shd w:val="clear" w:color="auto" w:fill="F7CAAC" w:themeFill="accent2" w:themeFillTint="66"/>
            <w:vAlign w:val="center"/>
          </w:tcPr>
          <w:p w:rsidR="00F13377" w:rsidRPr="00F15EDF" w:rsidRDefault="00F13377" w:rsidP="00F13377">
            <w:pPr>
              <w:rPr>
                <w:rFonts w:eastAsia="Times New Roman" w:cs="Times New Roman"/>
                <w:color w:val="000000"/>
              </w:rPr>
            </w:pPr>
            <w:r>
              <w:rPr>
                <w:rFonts w:eastAsia="Times New Roman" w:cs="Times New Roman"/>
                <w:color w:val="000000"/>
              </w:rPr>
              <w:t>4</w:t>
            </w:r>
          </w:p>
        </w:tc>
        <w:tc>
          <w:tcPr>
            <w:tcW w:w="720" w:type="dxa"/>
            <w:tcBorders>
              <w:top w:val="nil"/>
              <w:left w:val="single" w:sz="4" w:space="0" w:color="auto"/>
              <w:bottom w:val="single" w:sz="4" w:space="0" w:color="auto"/>
              <w:right w:val="single" w:sz="4" w:space="0" w:color="auto"/>
            </w:tcBorders>
            <w:shd w:val="clear" w:color="auto" w:fill="F7CAAC" w:themeFill="accent2" w:themeFillTint="66"/>
            <w:vAlign w:val="center"/>
          </w:tcPr>
          <w:p w:rsidR="00F13377" w:rsidRPr="00F15EDF" w:rsidRDefault="00666D86" w:rsidP="00F13377">
            <w:pPr>
              <w:rPr>
                <w:rFonts w:eastAsia="Times New Roman" w:cs="Times New Roman"/>
              </w:rPr>
            </w:pPr>
            <w:r>
              <w:rPr>
                <w:rFonts w:eastAsia="Times New Roman" w:cs="Times New Roman"/>
              </w:rPr>
              <w:t>4</w:t>
            </w:r>
          </w:p>
        </w:tc>
        <w:tc>
          <w:tcPr>
            <w:tcW w:w="269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13377" w:rsidRPr="00F75C91" w:rsidRDefault="00666D86" w:rsidP="00F13377">
            <w:pPr>
              <w:rPr>
                <w:rFonts w:eastAsia="Times New Roman" w:cs="Times New Roman"/>
                <w:b/>
                <w:bCs/>
                <w:sz w:val="20"/>
                <w:szCs w:val="20"/>
              </w:rPr>
            </w:pPr>
            <w:r>
              <w:rPr>
                <w:rFonts w:eastAsia="Times New Roman" w:cs="Times New Roman"/>
                <w:b/>
                <w:bCs/>
                <w:sz w:val="20"/>
                <w:szCs w:val="20"/>
              </w:rPr>
              <w:t>Scott-Carver-Dakota CAP</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13377" w:rsidRPr="00F75C91" w:rsidRDefault="00666D86" w:rsidP="00F13377">
            <w:pPr>
              <w:rPr>
                <w:rFonts w:eastAsia="Times New Roman" w:cs="Times New Roman"/>
                <w:b/>
                <w:sz w:val="20"/>
                <w:szCs w:val="20"/>
              </w:rPr>
            </w:pPr>
            <w:r>
              <w:rPr>
                <w:rFonts w:eastAsia="Times New Roman" w:cs="Times New Roman"/>
                <w:b/>
                <w:sz w:val="20"/>
                <w:szCs w:val="20"/>
              </w:rPr>
              <w:t>Coordinated Entry</w:t>
            </w:r>
          </w:p>
        </w:tc>
        <w:tc>
          <w:tcPr>
            <w:tcW w:w="39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13377" w:rsidRPr="00127F8E" w:rsidRDefault="00F13377" w:rsidP="00F13377">
            <w:pPr>
              <w:rPr>
                <w:rFonts w:eastAsia="Times New Roman" w:cs="Times New Roman"/>
                <w:sz w:val="20"/>
              </w:rPr>
            </w:pPr>
            <w:r w:rsidRPr="00127F8E">
              <w:rPr>
                <w:rFonts w:eastAsia="Times New Roman" w:cs="Times New Roman"/>
                <w:color w:val="000000"/>
                <w:sz w:val="20"/>
              </w:rPr>
              <w:t>No Comment</w:t>
            </w:r>
          </w:p>
        </w:tc>
      </w:tr>
      <w:tr w:rsidR="00F13377" w:rsidRPr="00F15EDF" w:rsidTr="00D9141A">
        <w:trPr>
          <w:trHeight w:val="315"/>
        </w:trPr>
        <w:tc>
          <w:tcPr>
            <w:tcW w:w="739" w:type="dxa"/>
            <w:tcBorders>
              <w:top w:val="nil"/>
              <w:left w:val="single" w:sz="4" w:space="0" w:color="auto"/>
              <w:bottom w:val="single" w:sz="4" w:space="0" w:color="auto"/>
              <w:right w:val="single" w:sz="4" w:space="0" w:color="auto"/>
            </w:tcBorders>
            <w:shd w:val="clear" w:color="auto" w:fill="F7CAAC" w:themeFill="accent2" w:themeFillTint="66"/>
            <w:vAlign w:val="center"/>
          </w:tcPr>
          <w:p w:rsidR="00F13377" w:rsidRPr="00F15EDF" w:rsidRDefault="00F13377" w:rsidP="00F13377">
            <w:pPr>
              <w:rPr>
                <w:rFonts w:eastAsia="Times New Roman" w:cs="Times New Roman"/>
                <w:color w:val="000000"/>
              </w:rPr>
            </w:pPr>
            <w:r>
              <w:rPr>
                <w:rFonts w:eastAsia="Times New Roman" w:cs="Times New Roman"/>
                <w:color w:val="000000"/>
              </w:rPr>
              <w:t>5</w:t>
            </w:r>
          </w:p>
        </w:tc>
        <w:tc>
          <w:tcPr>
            <w:tcW w:w="720" w:type="dxa"/>
            <w:tcBorders>
              <w:top w:val="nil"/>
              <w:left w:val="single" w:sz="4" w:space="0" w:color="auto"/>
              <w:bottom w:val="single" w:sz="4" w:space="0" w:color="auto"/>
              <w:right w:val="single" w:sz="4" w:space="0" w:color="auto"/>
            </w:tcBorders>
            <w:shd w:val="clear" w:color="auto" w:fill="F7CAAC" w:themeFill="accent2" w:themeFillTint="66"/>
            <w:vAlign w:val="center"/>
          </w:tcPr>
          <w:p w:rsidR="00F13377" w:rsidRPr="00F15EDF" w:rsidRDefault="00666D86" w:rsidP="00F13377">
            <w:pPr>
              <w:rPr>
                <w:rFonts w:eastAsia="Times New Roman" w:cs="Times New Roman"/>
                <w:color w:val="000000"/>
              </w:rPr>
            </w:pPr>
            <w:r>
              <w:rPr>
                <w:rFonts w:eastAsia="Times New Roman" w:cs="Times New Roman"/>
                <w:color w:val="000000"/>
              </w:rPr>
              <w:t>5</w:t>
            </w:r>
          </w:p>
        </w:tc>
        <w:tc>
          <w:tcPr>
            <w:tcW w:w="269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13377" w:rsidRPr="00F75C91" w:rsidRDefault="00666D86" w:rsidP="00F13377">
            <w:pPr>
              <w:rPr>
                <w:rFonts w:eastAsia="Times New Roman" w:cs="Times New Roman"/>
                <w:b/>
                <w:bCs/>
                <w:color w:val="000000"/>
                <w:sz w:val="20"/>
                <w:szCs w:val="20"/>
              </w:rPr>
            </w:pPr>
            <w:r>
              <w:rPr>
                <w:rFonts w:eastAsia="Times New Roman" w:cs="Times New Roman"/>
                <w:b/>
                <w:bCs/>
                <w:color w:val="000000"/>
                <w:sz w:val="20"/>
                <w:szCs w:val="20"/>
              </w:rPr>
              <w:t>The Bridge</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13377" w:rsidRPr="00F75C91" w:rsidRDefault="00666D86" w:rsidP="00F13377">
            <w:pPr>
              <w:rPr>
                <w:rFonts w:eastAsia="Times New Roman" w:cs="Times New Roman"/>
                <w:b/>
                <w:color w:val="000000"/>
                <w:sz w:val="20"/>
                <w:szCs w:val="20"/>
              </w:rPr>
            </w:pPr>
            <w:r>
              <w:rPr>
                <w:rFonts w:eastAsia="Times New Roman" w:cs="Times New Roman"/>
                <w:b/>
                <w:color w:val="000000"/>
                <w:sz w:val="20"/>
                <w:szCs w:val="20"/>
              </w:rPr>
              <w:t xml:space="preserve"> Youth Shelter/Housing</w:t>
            </w:r>
          </w:p>
        </w:tc>
        <w:tc>
          <w:tcPr>
            <w:tcW w:w="39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13377" w:rsidRPr="00127F8E" w:rsidRDefault="00F13377" w:rsidP="00F13377">
            <w:pPr>
              <w:rPr>
                <w:rFonts w:eastAsia="Times New Roman" w:cs="Times New Roman"/>
                <w:color w:val="000000"/>
                <w:sz w:val="20"/>
              </w:rPr>
            </w:pPr>
            <w:r w:rsidRPr="00127F8E">
              <w:rPr>
                <w:rFonts w:eastAsia="Times New Roman" w:cs="Times New Roman"/>
                <w:color w:val="000000"/>
                <w:sz w:val="20"/>
              </w:rPr>
              <w:t>No Comment</w:t>
            </w:r>
          </w:p>
        </w:tc>
      </w:tr>
    </w:tbl>
    <w:p w:rsidR="00F13377" w:rsidRDefault="00F13377"/>
    <w:p w:rsidR="00D16156" w:rsidRDefault="00CF762A">
      <w:r>
        <w:t>10/2-10/5</w:t>
      </w:r>
      <w:r>
        <w:tab/>
        <w:t>Pre-applicants notified</w:t>
      </w:r>
      <w:r w:rsidR="00F13377">
        <w:t xml:space="preserve">.  </w:t>
      </w:r>
    </w:p>
    <w:p w:rsidR="00CF762A" w:rsidRDefault="00F13377" w:rsidP="00D16156">
      <w:pPr>
        <w:ind w:left="1440"/>
      </w:pPr>
      <w:r>
        <w:t xml:space="preserve">All applicants were invited to apply for the 2015 competition, but low ranking projects were notified that </w:t>
      </w:r>
      <w:r w:rsidR="00D16156">
        <w:t>it was possible their applications would be rejected if sufficient funding could not be identified through renewal project reallocations/rejections.</w:t>
      </w:r>
    </w:p>
    <w:p w:rsidR="00CF762A" w:rsidRDefault="00CF762A"/>
    <w:p w:rsidR="001355C8" w:rsidRDefault="00CF762A">
      <w:r>
        <w:t>10/14/15</w:t>
      </w:r>
      <w:r w:rsidR="001355C8">
        <w:tab/>
        <w:t>Project Appli</w:t>
      </w:r>
      <w:r>
        <w:t>cations due to SMAC coordinator</w:t>
      </w:r>
    </w:p>
    <w:p w:rsidR="00D16156" w:rsidRDefault="00D16156">
      <w:r>
        <w:tab/>
      </w:r>
      <w:r>
        <w:tab/>
        <w:t>25 competitive project and one planning grants were received.</w:t>
      </w:r>
    </w:p>
    <w:p w:rsidR="001355C8" w:rsidRDefault="001355C8"/>
    <w:p w:rsidR="001355C8" w:rsidRDefault="00CF762A" w:rsidP="001355C8">
      <w:pPr>
        <w:ind w:left="1440" w:hanging="1440"/>
      </w:pPr>
      <w:r>
        <w:t>10/14-10/19</w:t>
      </w:r>
      <w:r w:rsidR="009814F7">
        <w:tab/>
        <w:t xml:space="preserve">MESH </w:t>
      </w:r>
      <w:r w:rsidR="001355C8">
        <w:t>conduct</w:t>
      </w:r>
      <w:r w:rsidR="00D16156">
        <w:t>ed</w:t>
      </w:r>
      <w:r w:rsidR="001355C8">
        <w:t xml:space="preserve"> technical review of Project Applications and conduct</w:t>
      </w:r>
      <w:r w:rsidR="00D16156">
        <w:t>ed</w:t>
      </w:r>
      <w:r w:rsidR="001355C8">
        <w:t xml:space="preserve"> initial scoring.  In addition to project applications, the following items were used to inform scoring:</w:t>
      </w:r>
    </w:p>
    <w:p w:rsidR="001355C8" w:rsidRDefault="001355C8" w:rsidP="001355C8">
      <w:pPr>
        <w:pStyle w:val="ListParagraph"/>
        <w:numPr>
          <w:ilvl w:val="0"/>
          <w:numId w:val="1"/>
        </w:numPr>
      </w:pPr>
      <w:r>
        <w:t>Project APRs</w:t>
      </w:r>
    </w:p>
    <w:p w:rsidR="001355C8" w:rsidRDefault="001355C8" w:rsidP="001355C8">
      <w:pPr>
        <w:pStyle w:val="ListParagraph"/>
        <w:numPr>
          <w:ilvl w:val="0"/>
          <w:numId w:val="1"/>
        </w:numPr>
      </w:pPr>
      <w:r>
        <w:t>Organizational Audit</w:t>
      </w:r>
    </w:p>
    <w:p w:rsidR="001355C8" w:rsidRDefault="001355C8" w:rsidP="001355C8">
      <w:pPr>
        <w:pStyle w:val="ListParagraph"/>
        <w:numPr>
          <w:ilvl w:val="0"/>
          <w:numId w:val="1"/>
        </w:numPr>
      </w:pPr>
      <w:r>
        <w:t>Recent HUD audits and findings</w:t>
      </w:r>
    </w:p>
    <w:p w:rsidR="001355C8" w:rsidRDefault="001355C8" w:rsidP="001355C8">
      <w:pPr>
        <w:pStyle w:val="ListParagraph"/>
        <w:numPr>
          <w:ilvl w:val="0"/>
          <w:numId w:val="1"/>
        </w:numPr>
      </w:pPr>
      <w:r>
        <w:t>LOCCS Drawdown and unspent funds</w:t>
      </w:r>
    </w:p>
    <w:p w:rsidR="001355C8" w:rsidRDefault="001355C8" w:rsidP="001355C8">
      <w:pPr>
        <w:pStyle w:val="ListParagraph"/>
        <w:numPr>
          <w:ilvl w:val="0"/>
          <w:numId w:val="1"/>
        </w:numPr>
      </w:pPr>
      <w:r>
        <w:t>Project Educational and Ear</w:t>
      </w:r>
      <w:r w:rsidR="00D16156">
        <w:t>ly Childhood documents (for family</w:t>
      </w:r>
      <w:r>
        <w:t>/youth</w:t>
      </w:r>
      <w:r w:rsidR="00D16156">
        <w:t xml:space="preserve"> projects</w:t>
      </w:r>
      <w:r>
        <w:t>)</w:t>
      </w:r>
    </w:p>
    <w:p w:rsidR="00CF762A" w:rsidRDefault="00CF762A" w:rsidP="00CF762A"/>
    <w:p w:rsidR="00CF762A" w:rsidRDefault="00CF762A" w:rsidP="00CF762A">
      <w:r>
        <w:lastRenderedPageBreak/>
        <w:t>10/20/15</w:t>
      </w:r>
      <w:r>
        <w:tab/>
        <w:t>Ranking Committee Meeting #2: Project scores reviewed</w:t>
      </w:r>
    </w:p>
    <w:p w:rsidR="00490B94" w:rsidRDefault="00490B94" w:rsidP="00490B94">
      <w:pPr>
        <w:pStyle w:val="ListParagraph"/>
        <w:numPr>
          <w:ilvl w:val="0"/>
          <w:numId w:val="6"/>
        </w:numPr>
      </w:pPr>
      <w:r w:rsidRPr="00490B94">
        <w:rPr>
          <w:u w:val="single"/>
        </w:rPr>
        <w:t>In Attendance</w:t>
      </w:r>
      <w:r>
        <w:t>: Dana Scarlett, Mallory Birch, Mike Manhard, Trisha Kauffman, Abby Guilford, Jen Romero, Michele Reid</w:t>
      </w:r>
    </w:p>
    <w:p w:rsidR="00490B94" w:rsidRDefault="00490B94" w:rsidP="00490B94">
      <w:pPr>
        <w:pStyle w:val="ListParagraph"/>
        <w:numPr>
          <w:ilvl w:val="0"/>
          <w:numId w:val="6"/>
        </w:numPr>
      </w:pPr>
      <w:r>
        <w:t>Process</w:t>
      </w:r>
    </w:p>
    <w:p w:rsidR="00490B94" w:rsidRDefault="00490B94" w:rsidP="00490B94">
      <w:pPr>
        <w:pStyle w:val="ListParagraph"/>
        <w:numPr>
          <w:ilvl w:val="1"/>
          <w:numId w:val="6"/>
        </w:numPr>
      </w:pPr>
      <w:r>
        <w:t xml:space="preserve">Reviewed </w:t>
      </w:r>
      <w:r w:rsidR="00D16156">
        <w:t xml:space="preserve">technical reviews and </w:t>
      </w:r>
      <w:r>
        <w:t>scoring of SMAC projects</w:t>
      </w:r>
    </w:p>
    <w:p w:rsidR="00490B94" w:rsidRDefault="00490B94" w:rsidP="00490B94">
      <w:pPr>
        <w:pStyle w:val="ListParagraph"/>
        <w:numPr>
          <w:ilvl w:val="1"/>
          <w:numId w:val="6"/>
        </w:numPr>
      </w:pPr>
      <w:r>
        <w:t>Members assigned projects to call and review their initial scores</w:t>
      </w:r>
    </w:p>
    <w:p w:rsidR="00490B94" w:rsidRDefault="00490B94" w:rsidP="00490B94">
      <w:pPr>
        <w:pStyle w:val="ListParagraph"/>
        <w:numPr>
          <w:ilvl w:val="1"/>
          <w:numId w:val="6"/>
        </w:numPr>
      </w:pPr>
      <w:r>
        <w:t>Initial score sheet will be emailed to applicant prior to scheduled call with ranking committee member.</w:t>
      </w:r>
    </w:p>
    <w:p w:rsidR="00E93221" w:rsidRDefault="00E93221" w:rsidP="001355C8">
      <w:r>
        <w:t xml:space="preserve"> </w:t>
      </w:r>
    </w:p>
    <w:p w:rsidR="00D16156" w:rsidRDefault="00CF762A" w:rsidP="000B189E">
      <w:pPr>
        <w:ind w:left="1440" w:hanging="1440"/>
      </w:pPr>
      <w:r>
        <w:t>10/21-10/27</w:t>
      </w:r>
      <w:r w:rsidR="001355C8">
        <w:tab/>
      </w:r>
      <w:r w:rsidR="00D16156">
        <w:t>One-on-one interview were conducted with each Project.</w:t>
      </w:r>
    </w:p>
    <w:p w:rsidR="001355C8" w:rsidRDefault="003D5FA4" w:rsidP="00D16156">
      <w:pPr>
        <w:ind w:left="1440"/>
      </w:pPr>
      <w:r>
        <w:t>Ranking committee conducted</w:t>
      </w:r>
      <w:r w:rsidR="000B189E">
        <w:t xml:space="preserve"> one-one interviews which each program to clarify any concerns</w:t>
      </w:r>
      <w:r>
        <w:t xml:space="preserve"> and to make recommendations to</w:t>
      </w:r>
      <w:r w:rsidR="000B189E">
        <w:t xml:space="preserve"> improving scoring.</w:t>
      </w:r>
      <w:r>
        <w:t xml:space="preserve">  </w:t>
      </w:r>
      <w:r w:rsidR="00D16156">
        <w:t xml:space="preserve">Projects were invited to amend applications based upon initial scoring.  </w:t>
      </w:r>
      <w:r>
        <w:t>Amended applications were reviewed and scoring was adjusted.</w:t>
      </w:r>
    </w:p>
    <w:p w:rsidR="000B189E" w:rsidRDefault="000B189E" w:rsidP="000B189E">
      <w:pPr>
        <w:ind w:left="1440" w:hanging="1440"/>
      </w:pPr>
    </w:p>
    <w:p w:rsidR="000B189E" w:rsidRDefault="00CF762A" w:rsidP="000B189E">
      <w:pPr>
        <w:ind w:left="1440" w:hanging="1440"/>
      </w:pPr>
      <w:r>
        <w:t>10/28/15</w:t>
      </w:r>
      <w:r>
        <w:tab/>
        <w:t xml:space="preserve">Ranking Committee Meeting #3: </w:t>
      </w:r>
      <w:r w:rsidR="00D16156">
        <w:t>I</w:t>
      </w:r>
      <w:r>
        <w:t>nitial ranking deliberation</w:t>
      </w:r>
    </w:p>
    <w:p w:rsidR="00D75A00" w:rsidRDefault="00D75A00" w:rsidP="000B189E">
      <w:pPr>
        <w:pStyle w:val="ListParagraph"/>
        <w:numPr>
          <w:ilvl w:val="0"/>
          <w:numId w:val="2"/>
        </w:numPr>
      </w:pPr>
      <w:r w:rsidRPr="007E5351">
        <w:rPr>
          <w:u w:val="single"/>
        </w:rPr>
        <w:t>In Attendance</w:t>
      </w:r>
      <w:r w:rsidR="00CF762A">
        <w:t xml:space="preserve">:  </w:t>
      </w:r>
      <w:r>
        <w:t>Dana Sc</w:t>
      </w:r>
      <w:r w:rsidR="00CF762A">
        <w:t xml:space="preserve">arlett, </w:t>
      </w:r>
      <w:r>
        <w:t>Mallory Birch, Mike Manhard</w:t>
      </w:r>
      <w:r w:rsidR="00CF762A">
        <w:t>, Trisha Kauffman, Abby Guilford, Jen Romero, Michele Reid</w:t>
      </w:r>
      <w:r w:rsidR="00490B94">
        <w:t>, Courtney Knoll, Jeremy Galley</w:t>
      </w:r>
    </w:p>
    <w:p w:rsidR="00D75A00" w:rsidRDefault="00D75A00" w:rsidP="000B189E">
      <w:pPr>
        <w:pStyle w:val="ListParagraph"/>
        <w:numPr>
          <w:ilvl w:val="0"/>
          <w:numId w:val="2"/>
        </w:numPr>
      </w:pPr>
      <w:r>
        <w:t>Process</w:t>
      </w:r>
    </w:p>
    <w:p w:rsidR="000B189E" w:rsidRDefault="000B189E" w:rsidP="00D75A00">
      <w:pPr>
        <w:pStyle w:val="ListParagraph"/>
        <w:numPr>
          <w:ilvl w:val="1"/>
          <w:numId w:val="2"/>
        </w:numPr>
      </w:pPr>
      <w:r>
        <w:t>Confirm</w:t>
      </w:r>
      <w:r w:rsidR="007E5351">
        <w:t>ed</w:t>
      </w:r>
      <w:r>
        <w:t xml:space="preserve"> scoring of SMAC projects</w:t>
      </w:r>
    </w:p>
    <w:p w:rsidR="000B189E" w:rsidRDefault="000B189E" w:rsidP="00D75A00">
      <w:pPr>
        <w:pStyle w:val="ListParagraph"/>
        <w:numPr>
          <w:ilvl w:val="1"/>
          <w:numId w:val="2"/>
        </w:numPr>
      </w:pPr>
      <w:r>
        <w:t>Review</w:t>
      </w:r>
      <w:r w:rsidR="007E5351">
        <w:t>ed</w:t>
      </w:r>
      <w:r>
        <w:t xml:space="preserve"> “site visit” highlights – any items that might suggest </w:t>
      </w:r>
      <w:r w:rsidRPr="000B189E">
        <w:rPr>
          <w:u w:val="single"/>
        </w:rPr>
        <w:t>ranking</w:t>
      </w:r>
      <w:r>
        <w:t xml:space="preserve"> should be different than </w:t>
      </w:r>
      <w:r w:rsidRPr="000B189E">
        <w:rPr>
          <w:u w:val="single"/>
        </w:rPr>
        <w:t>scoring</w:t>
      </w:r>
      <w:r>
        <w:t>.</w:t>
      </w:r>
    </w:p>
    <w:p w:rsidR="00013DF7" w:rsidRDefault="00013DF7" w:rsidP="00D75A00">
      <w:pPr>
        <w:pStyle w:val="ListParagraph"/>
        <w:numPr>
          <w:ilvl w:val="1"/>
          <w:numId w:val="2"/>
        </w:numPr>
      </w:pPr>
      <w:r>
        <w:t>Final scoring was determined.</w:t>
      </w:r>
    </w:p>
    <w:p w:rsidR="00490B94" w:rsidRDefault="00D16156" w:rsidP="003371AE">
      <w:pPr>
        <w:pStyle w:val="ListParagraph"/>
        <w:numPr>
          <w:ilvl w:val="2"/>
          <w:numId w:val="2"/>
        </w:numPr>
      </w:pPr>
      <w:r>
        <w:t>In lieu of “total score”, the ranking committee o</w:t>
      </w:r>
      <w:r w:rsidR="00490B94">
        <w:t>pted to go with a scaled-score based on percentages and removed Veterans question in the scores</w:t>
      </w:r>
      <w:r>
        <w:t xml:space="preserve"> (prioritization for serving Veterans is being implemented and evaluated through Coordinated Entry system-wide performance, not per project</w:t>
      </w:r>
      <w:r w:rsidR="00490B94">
        <w:t>.</w:t>
      </w:r>
    </w:p>
    <w:p w:rsidR="007E5351" w:rsidRDefault="007E5351" w:rsidP="007E5351"/>
    <w:p w:rsidR="00D75A00" w:rsidRDefault="00490B94" w:rsidP="007E5351">
      <w:r>
        <w:t>11/2</w:t>
      </w:r>
      <w:r w:rsidR="003371AE">
        <w:t>/15</w:t>
      </w:r>
      <w:r w:rsidR="007E5351">
        <w:tab/>
      </w:r>
      <w:r>
        <w:t>Ranking Committee Meeting #4: Initial Project Ranking</w:t>
      </w:r>
    </w:p>
    <w:p w:rsidR="00056E20" w:rsidRDefault="00056E20" w:rsidP="00056E20">
      <w:pPr>
        <w:pStyle w:val="ListParagraph"/>
        <w:numPr>
          <w:ilvl w:val="0"/>
          <w:numId w:val="2"/>
        </w:numPr>
      </w:pPr>
      <w:r w:rsidRPr="007E5351">
        <w:rPr>
          <w:u w:val="single"/>
        </w:rPr>
        <w:t>In Attendance</w:t>
      </w:r>
      <w:r>
        <w:t xml:space="preserve">:  Courtney Knoll, Dana Scarlett, Mallory Birch, Mike Manhard, </w:t>
      </w:r>
      <w:r w:rsidR="00490B94">
        <w:t>Abby Guilford, Michele Reid, Jeremy Galley, Jen Romero, Trisha Kauffman</w:t>
      </w:r>
    </w:p>
    <w:p w:rsidR="00056E20" w:rsidRDefault="00056E20" w:rsidP="00056E20">
      <w:pPr>
        <w:pStyle w:val="ListParagraph"/>
        <w:numPr>
          <w:ilvl w:val="0"/>
          <w:numId w:val="2"/>
        </w:numPr>
      </w:pPr>
      <w:r>
        <w:t>Process</w:t>
      </w:r>
    </w:p>
    <w:p w:rsidR="003371AE" w:rsidRDefault="003371AE" w:rsidP="00E4484B">
      <w:pPr>
        <w:pStyle w:val="ListParagraph"/>
        <w:numPr>
          <w:ilvl w:val="1"/>
          <w:numId w:val="2"/>
        </w:numPr>
      </w:pPr>
      <w:r>
        <w:t xml:space="preserve">Determined that ranking will match scoring for the top two-thirds of projects.  For bottom third, Ranking committee reviewed model, geographic region, current and historic performance, and Tier 2 scoring to determine any variance from scoring to ranking.  </w:t>
      </w:r>
    </w:p>
    <w:p w:rsidR="00E4484B" w:rsidRDefault="00E4484B" w:rsidP="00E4484B">
      <w:pPr>
        <w:pStyle w:val="ListParagraph"/>
        <w:numPr>
          <w:ilvl w:val="1"/>
          <w:numId w:val="2"/>
        </w:numPr>
      </w:pPr>
      <w:r>
        <w:t>Wilder was moved</w:t>
      </w:r>
      <w:r w:rsidR="003371AE">
        <w:t xml:space="preserve"> from #24</w:t>
      </w:r>
      <w:r>
        <w:t xml:space="preserve"> to </w:t>
      </w:r>
      <w:r w:rsidR="003371AE">
        <w:t>#</w:t>
      </w:r>
      <w:r>
        <w:t>22 in the ranking following SMAC’s priority for keeping funding for HMIS in Tier 1.</w:t>
      </w:r>
    </w:p>
    <w:p w:rsidR="003371AE" w:rsidRDefault="003371AE" w:rsidP="00E4484B">
      <w:pPr>
        <w:pStyle w:val="ListParagraph"/>
        <w:numPr>
          <w:ilvl w:val="1"/>
          <w:numId w:val="2"/>
        </w:numPr>
      </w:pPr>
      <w:r>
        <w:t>The Link’s new rapid rehousing bonus project was moved from #20 to #25 to reside in the bottom of Tier 2 in order to avoid putting renewal projects at risk.</w:t>
      </w:r>
    </w:p>
    <w:p w:rsidR="00E4484B" w:rsidRDefault="003371AE" w:rsidP="00E4484B">
      <w:pPr>
        <w:pStyle w:val="ListParagraph"/>
        <w:numPr>
          <w:ilvl w:val="1"/>
          <w:numId w:val="2"/>
        </w:numPr>
      </w:pPr>
      <w:r>
        <w:t>With these initial adjustments to ranking, t</w:t>
      </w:r>
      <w:r w:rsidR="00B339F1">
        <w:t xml:space="preserve">he bottom 3 projects </w:t>
      </w:r>
      <w:r>
        <w:t>were all rapid rehousing (RRH)</w:t>
      </w:r>
      <w:r w:rsidR="00B339F1">
        <w:t xml:space="preserve">.  This was a concern and deliberation was had about if the tool was scoring RRH appropriately.  It was decided that RRH programs should have better performance outcomes because of the short term of the program and the level of need of clients served by that program type.  Therefore, it was </w:t>
      </w:r>
      <w:r>
        <w:t>agreed</w:t>
      </w:r>
      <w:r w:rsidR="00B339F1">
        <w:t xml:space="preserve"> the error was not with the scoring tool.</w:t>
      </w:r>
    </w:p>
    <w:p w:rsidR="00B339F1" w:rsidRDefault="00B339F1" w:rsidP="00E4484B">
      <w:pPr>
        <w:pStyle w:val="ListParagraph"/>
        <w:numPr>
          <w:ilvl w:val="1"/>
          <w:numId w:val="2"/>
        </w:numPr>
      </w:pPr>
      <w:r>
        <w:t>Looked at HUD priorities and SMAC identified priorities.  It was decided that family programs and youth programs were important to keep in Tier 1 as much as possible.  It was also decided that projects that served the entire region should remain in Tier 1.</w:t>
      </w:r>
    </w:p>
    <w:p w:rsidR="00B339F1" w:rsidRDefault="00B339F1" w:rsidP="00E4484B">
      <w:pPr>
        <w:pStyle w:val="ListParagraph"/>
        <w:numPr>
          <w:ilvl w:val="1"/>
          <w:numId w:val="2"/>
        </w:numPr>
      </w:pPr>
      <w:r>
        <w:t>Past performance was reviewed.  Historic low performance led the committee to move the Scott-Carver-Dakota CAP RRH</w:t>
      </w:r>
      <w:r w:rsidR="003371AE">
        <w:t xml:space="preserve"> from #25 to #22</w:t>
      </w:r>
      <w:r>
        <w:t xml:space="preserve"> into Tier 1 and </w:t>
      </w:r>
      <w:r w:rsidR="00D61457">
        <w:t>leave</w:t>
      </w:r>
      <w:r>
        <w:t xml:space="preserve"> Dakota County SHP</w:t>
      </w:r>
      <w:r w:rsidR="003371AE">
        <w:t xml:space="preserve"> (three years of underperformance in project outcomes) </w:t>
      </w:r>
      <w:r w:rsidR="00D61457">
        <w:t xml:space="preserve">at #23, </w:t>
      </w:r>
      <w:r>
        <w:t xml:space="preserve">straddling the line between Tier 1 and Tier 2.  </w:t>
      </w:r>
    </w:p>
    <w:p w:rsidR="00B339F1" w:rsidRDefault="00B339F1" w:rsidP="00E4484B">
      <w:pPr>
        <w:pStyle w:val="ListParagraph"/>
        <w:numPr>
          <w:ilvl w:val="1"/>
          <w:numId w:val="2"/>
        </w:numPr>
      </w:pPr>
      <w:r>
        <w:lastRenderedPageBreak/>
        <w:t xml:space="preserve">In order to minimize the number of total beds and total projects at risk, the committee decided to move MHR </w:t>
      </w:r>
      <w:r w:rsidR="00D61457">
        <w:t>Permanent Housing for Chronic Homelessness from #22 to #24 (2</w:t>
      </w:r>
      <w:r w:rsidR="00D61457" w:rsidRPr="00D61457">
        <w:rPr>
          <w:vertAlign w:val="superscript"/>
        </w:rPr>
        <w:t>nd</w:t>
      </w:r>
      <w:r w:rsidR="00D61457">
        <w:t xml:space="preserve"> in Tier 2).  Our rationale for doing this was that it put only 2 beds at risk and it had the lowest scoring of the PSH projects.</w:t>
      </w:r>
    </w:p>
    <w:p w:rsidR="00E62DA7" w:rsidRDefault="00E62DA7" w:rsidP="000B189E"/>
    <w:p w:rsidR="00D9141A" w:rsidRDefault="00D9141A" w:rsidP="00D9141A">
      <w:pPr>
        <w:ind w:left="720" w:hanging="720"/>
      </w:pPr>
      <w:r>
        <w:t>11/2/15</w:t>
      </w:r>
      <w:r>
        <w:tab/>
        <w:t xml:space="preserve">Initial ranking was posted to Anoka County’s website.  The link was emailed to all project applicants </w:t>
      </w:r>
    </w:p>
    <w:p w:rsidR="00D9141A" w:rsidRDefault="00D9141A" w:rsidP="00D9141A">
      <w:pPr>
        <w:ind w:left="720" w:firstLine="720"/>
      </w:pPr>
      <w:r>
        <w:t>alerting them to the posting and the appeals process.</w:t>
      </w:r>
    </w:p>
    <w:p w:rsidR="00D9141A" w:rsidRDefault="00D9141A" w:rsidP="00D9141A"/>
    <w:p w:rsidR="00D9141A" w:rsidRDefault="00D9141A" w:rsidP="00D9141A">
      <w:pPr>
        <w:ind w:left="720" w:hanging="720"/>
      </w:pPr>
      <w:r>
        <w:t>11/3/15</w:t>
      </w:r>
      <w:r>
        <w:tab/>
        <w:t xml:space="preserve">SMAC Coordinator received written appeals from both of the projects ranked in Tier 2 (Dakota County </w:t>
      </w:r>
    </w:p>
    <w:p w:rsidR="00D9141A" w:rsidRDefault="00D9141A" w:rsidP="00D9141A">
      <w:pPr>
        <w:ind w:left="720" w:firstLine="720"/>
      </w:pPr>
      <w:r>
        <w:t xml:space="preserve">and Mental Health Resources) appealing their ranking.  </w:t>
      </w:r>
    </w:p>
    <w:p w:rsidR="00D9141A" w:rsidRDefault="00D9141A" w:rsidP="00D9141A"/>
    <w:p w:rsidR="00D9141A" w:rsidRDefault="00D9141A" w:rsidP="00D9141A">
      <w:pPr>
        <w:ind w:left="720" w:hanging="720"/>
      </w:pPr>
      <w:r>
        <w:t>11/4/15</w:t>
      </w:r>
      <w:r>
        <w:tab/>
        <w:t xml:space="preserve">Appeals Committee met to consider the appeals and decide if ranking would change. </w:t>
      </w:r>
    </w:p>
    <w:p w:rsidR="00D9141A" w:rsidRDefault="00D9141A" w:rsidP="00D9141A">
      <w:pPr>
        <w:ind w:left="1440"/>
      </w:pPr>
      <w:r>
        <w:t xml:space="preserve">The Ranking Committee unanimously voted to keep the initial ranking order as the final ranking.  Rationale was recorded and shared with Projects.  </w:t>
      </w:r>
      <w:r w:rsidRPr="00C555EA">
        <w:rPr>
          <w:b/>
        </w:rPr>
        <w:t xml:space="preserve">Final ranking was posted publicly on </w:t>
      </w:r>
      <w:hyperlink r:id="rId8" w:history="1">
        <w:r w:rsidRPr="00C555EA">
          <w:rPr>
            <w:rStyle w:val="Hyperlink"/>
            <w:b/>
          </w:rPr>
          <w:t>www.mesh-mn.org</w:t>
        </w:r>
      </w:hyperlink>
      <w:r w:rsidRPr="00C555EA">
        <w:rPr>
          <w:b/>
        </w:rPr>
        <w:t xml:space="preserve"> and shared with all projects and CoC members.</w:t>
      </w:r>
    </w:p>
    <w:p w:rsidR="00D9141A" w:rsidRDefault="00D9141A" w:rsidP="000B189E"/>
    <w:p w:rsidR="00D9141A" w:rsidRDefault="00D9141A" w:rsidP="000B189E"/>
    <w:p w:rsidR="00D9141A" w:rsidRDefault="00D9141A">
      <w:pPr>
        <w:rPr>
          <w:b/>
          <w:sz w:val="24"/>
          <w:u w:val="single"/>
        </w:rPr>
      </w:pPr>
      <w:r>
        <w:rPr>
          <w:b/>
          <w:sz w:val="24"/>
          <w:u w:val="single"/>
        </w:rPr>
        <w:br w:type="page"/>
      </w:r>
    </w:p>
    <w:p w:rsidR="00B40545" w:rsidRPr="000D1EE6" w:rsidRDefault="001518B1" w:rsidP="005E6B10">
      <w:pPr>
        <w:tabs>
          <w:tab w:val="left" w:pos="9228"/>
        </w:tabs>
        <w:rPr>
          <w:b/>
          <w:sz w:val="24"/>
          <w:u w:val="single"/>
        </w:rPr>
      </w:pPr>
      <w:r>
        <w:rPr>
          <w:b/>
          <w:sz w:val="24"/>
          <w:u w:val="single"/>
        </w:rPr>
        <w:lastRenderedPageBreak/>
        <w:t>11/2</w:t>
      </w:r>
      <w:r w:rsidR="00C555EA">
        <w:rPr>
          <w:b/>
          <w:sz w:val="24"/>
          <w:u w:val="single"/>
        </w:rPr>
        <w:t>/15</w:t>
      </w:r>
      <w:r w:rsidR="000D1EE6">
        <w:rPr>
          <w:b/>
          <w:sz w:val="24"/>
          <w:u w:val="single"/>
        </w:rPr>
        <w:t xml:space="preserve"> Initial and Final RANKING (Approved unanimously)</w:t>
      </w:r>
      <w:r w:rsidR="005E6B10">
        <w:rPr>
          <w:b/>
          <w:sz w:val="24"/>
          <w:u w:val="single"/>
        </w:rPr>
        <w:tab/>
      </w:r>
    </w:p>
    <w:tbl>
      <w:tblPr>
        <w:tblW w:w="10800" w:type="dxa"/>
        <w:tblInd w:w="-5" w:type="dxa"/>
        <w:tblLook w:val="04A0" w:firstRow="1" w:lastRow="0" w:firstColumn="1" w:lastColumn="0" w:noHBand="0" w:noVBand="1"/>
      </w:tblPr>
      <w:tblGrid>
        <w:gridCol w:w="739"/>
        <w:gridCol w:w="720"/>
        <w:gridCol w:w="2690"/>
        <w:gridCol w:w="2691"/>
        <w:gridCol w:w="3960"/>
      </w:tblGrid>
      <w:tr w:rsidR="00C555EA" w:rsidRPr="00014F72" w:rsidTr="008D2F69">
        <w:trPr>
          <w:trHeight w:val="315"/>
          <w:tblHeader/>
        </w:trPr>
        <w:tc>
          <w:tcPr>
            <w:tcW w:w="73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55EA" w:rsidRPr="00F15EDF" w:rsidRDefault="00C555EA" w:rsidP="008D2F69">
            <w:pPr>
              <w:jc w:val="center"/>
              <w:rPr>
                <w:rFonts w:eastAsia="Times New Roman" w:cs="Times New Roman"/>
                <w:b/>
              </w:rPr>
            </w:pPr>
            <w:r>
              <w:rPr>
                <w:rFonts w:eastAsia="Times New Roman" w:cs="Times New Roman"/>
                <w:b/>
              </w:rPr>
              <w:t>RANK</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55EA" w:rsidRPr="00F15EDF" w:rsidRDefault="00C555EA" w:rsidP="008D2F69">
            <w:pPr>
              <w:jc w:val="center"/>
              <w:rPr>
                <w:rFonts w:eastAsia="Times New Roman" w:cs="Times New Roman"/>
                <w:b/>
              </w:rPr>
            </w:pPr>
            <w:r>
              <w:rPr>
                <w:rFonts w:eastAsia="Times New Roman" w:cs="Times New Roman"/>
                <w:b/>
              </w:rPr>
              <w:t>Score</w:t>
            </w:r>
          </w:p>
        </w:tc>
        <w:tc>
          <w:tcPr>
            <w:tcW w:w="269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555EA" w:rsidRPr="00F15EDF" w:rsidRDefault="00C555EA" w:rsidP="008D2F69">
            <w:pPr>
              <w:jc w:val="center"/>
              <w:rPr>
                <w:rFonts w:eastAsia="Times New Roman" w:cs="Times New Roman"/>
                <w:b/>
              </w:rPr>
            </w:pPr>
            <w:r w:rsidRPr="00014F72">
              <w:rPr>
                <w:rFonts w:eastAsia="Times New Roman" w:cs="Times New Roman"/>
                <w:b/>
              </w:rPr>
              <w:t>Agency</w:t>
            </w:r>
          </w:p>
        </w:tc>
        <w:tc>
          <w:tcPr>
            <w:tcW w:w="269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55EA" w:rsidRPr="00F15EDF" w:rsidRDefault="00C555EA" w:rsidP="008D2F69">
            <w:pPr>
              <w:jc w:val="center"/>
              <w:rPr>
                <w:rFonts w:eastAsia="Times New Roman" w:cs="Times New Roman"/>
                <w:b/>
              </w:rPr>
            </w:pPr>
            <w:r w:rsidRPr="00014F72">
              <w:rPr>
                <w:rFonts w:eastAsia="Times New Roman" w:cs="Times New Roman"/>
                <w:b/>
              </w:rPr>
              <w:t>Project</w:t>
            </w:r>
          </w:p>
        </w:tc>
        <w:tc>
          <w:tcPr>
            <w:tcW w:w="396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555EA" w:rsidRPr="00F15EDF" w:rsidRDefault="00C555EA" w:rsidP="008D2F69">
            <w:pPr>
              <w:jc w:val="center"/>
              <w:rPr>
                <w:rFonts w:eastAsia="Times New Roman" w:cs="Times New Roman"/>
                <w:b/>
              </w:rPr>
            </w:pPr>
            <w:r>
              <w:rPr>
                <w:rFonts w:eastAsia="Times New Roman" w:cs="Times New Roman"/>
                <w:b/>
              </w:rPr>
              <w:t>Rationale</w:t>
            </w:r>
          </w:p>
        </w:tc>
      </w:tr>
      <w:tr w:rsidR="00C555EA" w:rsidRPr="00C555EA" w:rsidTr="00C555EA">
        <w:trPr>
          <w:trHeight w:val="315"/>
          <w:tblHeader/>
        </w:trPr>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555EA" w:rsidRPr="00C555EA" w:rsidRDefault="00C555EA" w:rsidP="008D2F69">
            <w:pPr>
              <w:rPr>
                <w:rFonts w:eastAsia="Times New Roman" w:cs="Times New Roman"/>
                <w:sz w:val="18"/>
              </w:rPr>
            </w:pPr>
          </w:p>
        </w:tc>
        <w:tc>
          <w:tcPr>
            <w:tcW w:w="61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5EA" w:rsidRPr="00C555EA" w:rsidRDefault="00C555EA" w:rsidP="008D2F69">
            <w:pPr>
              <w:rPr>
                <w:rFonts w:eastAsia="Times New Roman" w:cs="Times New Roman"/>
                <w:sz w:val="18"/>
              </w:rPr>
            </w:pPr>
            <w:r>
              <w:rPr>
                <w:rFonts w:eastAsia="Times New Roman" w:cs="Times New Roman"/>
                <w:sz w:val="18"/>
              </w:rPr>
              <w:t>Tier 1 Projects</w:t>
            </w:r>
          </w:p>
        </w:tc>
        <w:tc>
          <w:tcPr>
            <w:tcW w:w="3960" w:type="dxa"/>
            <w:vMerge w:val="restart"/>
            <w:tcBorders>
              <w:top w:val="single" w:sz="4" w:space="0" w:color="auto"/>
              <w:left w:val="single" w:sz="4" w:space="0" w:color="auto"/>
              <w:right w:val="single" w:sz="4" w:space="0" w:color="auto"/>
            </w:tcBorders>
            <w:shd w:val="clear" w:color="auto" w:fill="FFFFFF" w:themeFill="background1"/>
            <w:vAlign w:val="bottom"/>
            <w:hideMark/>
          </w:tcPr>
          <w:p w:rsidR="00C555EA" w:rsidRPr="00C555EA" w:rsidRDefault="00C555EA" w:rsidP="00C555EA">
            <w:pPr>
              <w:rPr>
                <w:rFonts w:eastAsia="Times New Roman" w:cs="Times New Roman"/>
                <w:i/>
                <w:sz w:val="18"/>
              </w:rPr>
            </w:pPr>
            <w:r w:rsidRPr="00C555EA">
              <w:rPr>
                <w:rFonts w:eastAsia="Times New Roman" w:cs="Times New Roman"/>
                <w:i/>
                <w:sz w:val="18"/>
              </w:rPr>
              <w:t>Rationale provided only for the projects that ranked differently than they had scored.</w:t>
            </w:r>
          </w:p>
        </w:tc>
      </w:tr>
      <w:tr w:rsidR="00C555EA" w:rsidRPr="00C555EA" w:rsidTr="00C555EA">
        <w:trPr>
          <w:trHeight w:val="315"/>
          <w:tblHeader/>
        </w:trPr>
        <w:tc>
          <w:tcPr>
            <w:tcW w:w="73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555EA" w:rsidRPr="00C555EA" w:rsidRDefault="00C555EA" w:rsidP="008D2F69">
            <w:pPr>
              <w:rPr>
                <w:rFonts w:eastAsia="Times New Roman" w:cs="Times New Roman"/>
                <w:sz w:val="18"/>
              </w:rPr>
            </w:pPr>
          </w:p>
        </w:tc>
        <w:tc>
          <w:tcPr>
            <w:tcW w:w="61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5EA" w:rsidRPr="00C555EA" w:rsidRDefault="00C555EA" w:rsidP="008D2F69">
            <w:pPr>
              <w:rPr>
                <w:rFonts w:eastAsia="Times New Roman" w:cs="Times New Roman"/>
                <w:sz w:val="18"/>
              </w:rPr>
            </w:pPr>
            <w:r>
              <w:rPr>
                <w:rFonts w:eastAsia="Times New Roman" w:cs="Times New Roman"/>
                <w:sz w:val="18"/>
              </w:rPr>
              <w:t>Project Straddles Tier 1 and Tier 2</w:t>
            </w:r>
          </w:p>
        </w:tc>
        <w:tc>
          <w:tcPr>
            <w:tcW w:w="3960" w:type="dxa"/>
            <w:vMerge/>
            <w:tcBorders>
              <w:left w:val="single" w:sz="4" w:space="0" w:color="auto"/>
              <w:right w:val="single" w:sz="4" w:space="0" w:color="auto"/>
            </w:tcBorders>
            <w:shd w:val="clear" w:color="auto" w:fill="FFFFFF" w:themeFill="background1"/>
            <w:vAlign w:val="center"/>
            <w:hideMark/>
          </w:tcPr>
          <w:p w:rsidR="00C555EA" w:rsidRPr="00C555EA" w:rsidRDefault="00C555EA" w:rsidP="008D2F69">
            <w:pPr>
              <w:rPr>
                <w:rFonts w:eastAsia="Times New Roman" w:cs="Times New Roman"/>
                <w:i/>
                <w:sz w:val="18"/>
              </w:rPr>
            </w:pPr>
          </w:p>
        </w:tc>
      </w:tr>
      <w:tr w:rsidR="00C555EA" w:rsidRPr="00C555EA" w:rsidTr="00C555EA">
        <w:trPr>
          <w:trHeight w:val="315"/>
          <w:tblHeader/>
        </w:trPr>
        <w:tc>
          <w:tcPr>
            <w:tcW w:w="73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C555EA" w:rsidRPr="00C555EA" w:rsidRDefault="00C555EA" w:rsidP="008D2F69">
            <w:pPr>
              <w:rPr>
                <w:rFonts w:eastAsia="Times New Roman" w:cs="Times New Roman"/>
                <w:sz w:val="18"/>
              </w:rPr>
            </w:pPr>
          </w:p>
        </w:tc>
        <w:tc>
          <w:tcPr>
            <w:tcW w:w="61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5EA" w:rsidRPr="00C555EA" w:rsidRDefault="00C555EA" w:rsidP="008D2F69">
            <w:pPr>
              <w:rPr>
                <w:rFonts w:eastAsia="Times New Roman" w:cs="Times New Roman"/>
                <w:sz w:val="18"/>
              </w:rPr>
            </w:pPr>
            <w:r>
              <w:rPr>
                <w:rFonts w:eastAsia="Times New Roman" w:cs="Times New Roman"/>
                <w:sz w:val="18"/>
              </w:rPr>
              <w:t>Tier 2</w:t>
            </w:r>
          </w:p>
        </w:tc>
        <w:tc>
          <w:tcPr>
            <w:tcW w:w="3960" w:type="dxa"/>
            <w:vMerge/>
            <w:tcBorders>
              <w:left w:val="single" w:sz="4" w:space="0" w:color="auto"/>
              <w:bottom w:val="single" w:sz="4" w:space="0" w:color="auto"/>
              <w:right w:val="single" w:sz="4" w:space="0" w:color="auto"/>
            </w:tcBorders>
            <w:shd w:val="clear" w:color="auto" w:fill="FFFFFF" w:themeFill="background1"/>
            <w:vAlign w:val="center"/>
            <w:hideMark/>
          </w:tcPr>
          <w:p w:rsidR="00C555EA" w:rsidRPr="00C555EA" w:rsidRDefault="00C555EA" w:rsidP="008D2F69">
            <w:pPr>
              <w:rPr>
                <w:rFonts w:eastAsia="Times New Roman" w:cs="Times New Roman"/>
                <w:i/>
                <w:sz w:val="18"/>
              </w:rPr>
            </w:pPr>
          </w:p>
        </w:tc>
      </w:tr>
      <w:tr w:rsidR="00C555EA" w:rsidRPr="00F15EDF" w:rsidTr="00C555EA">
        <w:trPr>
          <w:trHeight w:val="315"/>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LSS Streetworks</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Coordinated Entry</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125"/>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2</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2</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South Metro Human Services</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SMAC RA</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00"/>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3</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3</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CommonBond Communities</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Granada Lakes Supportive Housing</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15"/>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4</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4</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color w:val="000000"/>
                <w:sz w:val="18"/>
                <w:szCs w:val="18"/>
              </w:rPr>
            </w:pPr>
            <w:r>
              <w:rPr>
                <w:rFonts w:ascii="Calibri" w:hAnsi="Calibri" w:cs="Arial"/>
                <w:b/>
                <w:bCs/>
                <w:color w:val="000000"/>
                <w:sz w:val="18"/>
                <w:szCs w:val="18"/>
              </w:rPr>
              <w:t>The Link</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color w:val="000000"/>
                <w:sz w:val="18"/>
                <w:szCs w:val="18"/>
              </w:rPr>
            </w:pPr>
            <w:r>
              <w:rPr>
                <w:rFonts w:ascii="Calibri" w:hAnsi="Calibri" w:cs="Arial"/>
                <w:color w:val="000000"/>
                <w:sz w:val="18"/>
                <w:szCs w:val="18"/>
              </w:rPr>
              <w:t>Supportive Housing Project</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color w:val="000000"/>
                <w:sz w:val="18"/>
                <w:szCs w:val="18"/>
              </w:rPr>
            </w:pPr>
          </w:p>
        </w:tc>
      </w:tr>
      <w:tr w:rsidR="00C555EA" w:rsidRPr="00F15EDF" w:rsidTr="00C555EA">
        <w:trPr>
          <w:trHeight w:val="315"/>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5</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5</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County of Scott</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H238 2103 Renewal</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00"/>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6</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6</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Scott-Carver-Dakota CAP Agency</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Dakota PS Bryant &amp; 13404 Aldrich Operations</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00"/>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7</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7</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Washington County HRA</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 xml:space="preserve">S+C   </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15"/>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8</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8</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Mental Health Resources, Inc.</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Project Restore</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00"/>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9</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9</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Metropolitan Council, Minnesota</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Anoka County CoC 2014</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15"/>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10</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10</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color w:val="000000"/>
                <w:sz w:val="18"/>
                <w:szCs w:val="18"/>
              </w:rPr>
            </w:pPr>
            <w:r>
              <w:rPr>
                <w:rFonts w:ascii="Calibri" w:hAnsi="Calibri" w:cs="Arial"/>
                <w:b/>
                <w:bCs/>
                <w:color w:val="000000"/>
                <w:sz w:val="18"/>
                <w:szCs w:val="18"/>
              </w:rPr>
              <w:t>South Metro Human Services</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color w:val="000000"/>
                <w:sz w:val="18"/>
                <w:szCs w:val="18"/>
              </w:rPr>
            </w:pPr>
            <w:r>
              <w:rPr>
                <w:rFonts w:ascii="Calibri" w:hAnsi="Calibri" w:cs="Arial"/>
                <w:color w:val="000000"/>
                <w:sz w:val="18"/>
                <w:szCs w:val="18"/>
              </w:rPr>
              <w:t>Anoka RA</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color w:val="000000"/>
                <w:sz w:val="18"/>
                <w:szCs w:val="18"/>
              </w:rPr>
            </w:pPr>
          </w:p>
        </w:tc>
      </w:tr>
      <w:tr w:rsidR="00C555EA" w:rsidRPr="00F15EDF" w:rsidTr="00C555EA">
        <w:trPr>
          <w:trHeight w:val="315"/>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11</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11</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color w:val="000000"/>
                <w:sz w:val="18"/>
                <w:szCs w:val="18"/>
              </w:rPr>
            </w:pPr>
            <w:r>
              <w:rPr>
                <w:rFonts w:ascii="Calibri" w:hAnsi="Calibri" w:cs="Arial"/>
                <w:b/>
                <w:bCs/>
                <w:color w:val="000000"/>
                <w:sz w:val="18"/>
                <w:szCs w:val="18"/>
              </w:rPr>
              <w:t>Carver CDA</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color w:val="000000"/>
                <w:sz w:val="18"/>
                <w:szCs w:val="18"/>
              </w:rPr>
            </w:pPr>
            <w:r>
              <w:rPr>
                <w:rFonts w:ascii="Calibri" w:hAnsi="Calibri" w:cs="Arial"/>
                <w:color w:val="000000"/>
                <w:sz w:val="18"/>
                <w:szCs w:val="18"/>
              </w:rPr>
              <w:t>Carver CDA S+C Program</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color w:val="000000"/>
                <w:sz w:val="18"/>
                <w:szCs w:val="18"/>
              </w:rPr>
            </w:pPr>
          </w:p>
        </w:tc>
      </w:tr>
      <w:tr w:rsidR="00C555EA" w:rsidRPr="00F15EDF" w:rsidTr="00C555EA">
        <w:trPr>
          <w:trHeight w:val="300"/>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12</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12</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Dakota County CDA</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S+C 2014</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00"/>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13</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13</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Scott-Carver-Dakota CAP Agency</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Scott/Carver PH Combo Grant</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15"/>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14</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14</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Canvas Health</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Mosaic 2014</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15"/>
        </w:trPr>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15</w:t>
            </w:r>
          </w:p>
        </w:tc>
        <w:tc>
          <w:tcPr>
            <w:tcW w:w="7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15</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Scott-Carver-Dakota CAP Agency</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Scott Carver Dakota PSH Project</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15"/>
        </w:trPr>
        <w:tc>
          <w:tcPr>
            <w:tcW w:w="739"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16</w:t>
            </w:r>
          </w:p>
        </w:tc>
        <w:tc>
          <w:tcPr>
            <w:tcW w:w="720"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16</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Hearth Connection</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Hearth SMAC 2015</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17</w:t>
            </w:r>
          </w:p>
        </w:tc>
        <w:tc>
          <w:tcPr>
            <w:tcW w:w="7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17</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Canvas Health</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SHARE 2014</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15"/>
        </w:trPr>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18</w:t>
            </w:r>
          </w:p>
        </w:tc>
        <w:tc>
          <w:tcPr>
            <w:tcW w:w="7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18</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sz w:val="18"/>
                <w:szCs w:val="18"/>
              </w:rPr>
            </w:pPr>
            <w:r>
              <w:rPr>
                <w:rFonts w:ascii="Calibri" w:hAnsi="Calibri" w:cs="Arial"/>
                <w:b/>
                <w:bCs/>
                <w:sz w:val="18"/>
                <w:szCs w:val="18"/>
              </w:rPr>
              <w:t>LSS</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sz w:val="18"/>
                <w:szCs w:val="18"/>
              </w:rPr>
            </w:pPr>
            <w:r>
              <w:rPr>
                <w:rFonts w:ascii="Calibri" w:hAnsi="Calibri" w:cs="Arial"/>
                <w:sz w:val="18"/>
                <w:szCs w:val="18"/>
              </w:rPr>
              <w:t>Anoka Supportive Housing</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sz w:val="18"/>
                <w:szCs w:val="18"/>
              </w:rPr>
            </w:pPr>
          </w:p>
        </w:tc>
      </w:tr>
      <w:tr w:rsidR="00C555EA" w:rsidRPr="00F15EDF" w:rsidTr="00C555EA">
        <w:trPr>
          <w:trHeight w:val="315"/>
        </w:trPr>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19</w:t>
            </w:r>
          </w:p>
        </w:tc>
        <w:tc>
          <w:tcPr>
            <w:tcW w:w="7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19</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color w:val="000000"/>
                <w:sz w:val="18"/>
                <w:szCs w:val="18"/>
              </w:rPr>
            </w:pPr>
            <w:r>
              <w:rPr>
                <w:rFonts w:ascii="Calibri" w:hAnsi="Calibri" w:cs="Arial"/>
                <w:b/>
                <w:bCs/>
                <w:color w:val="000000"/>
                <w:sz w:val="18"/>
                <w:szCs w:val="18"/>
              </w:rPr>
              <w:t>The Link</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color w:val="000000"/>
                <w:sz w:val="18"/>
                <w:szCs w:val="18"/>
              </w:rPr>
            </w:pPr>
            <w:r>
              <w:rPr>
                <w:rFonts w:ascii="Calibri" w:hAnsi="Calibri" w:cs="Arial"/>
                <w:color w:val="000000"/>
                <w:sz w:val="18"/>
                <w:szCs w:val="18"/>
              </w:rPr>
              <w:t>Lincoln Place</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color w:val="000000"/>
                <w:sz w:val="18"/>
                <w:szCs w:val="18"/>
              </w:rPr>
            </w:pPr>
          </w:p>
        </w:tc>
      </w:tr>
      <w:tr w:rsidR="000D1EE6" w:rsidRPr="00F15EDF" w:rsidTr="00C555EA">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20</w:t>
            </w:r>
          </w:p>
        </w:tc>
        <w:tc>
          <w:tcPr>
            <w:tcW w:w="7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jc w:val="center"/>
              <w:rPr>
                <w:rFonts w:ascii="Calibri" w:hAnsi="Calibri" w:cs="Arial"/>
                <w:b/>
                <w:bCs/>
                <w:color w:val="FF0000"/>
                <w:sz w:val="28"/>
                <w:szCs w:val="28"/>
              </w:rPr>
            </w:pPr>
            <w:r>
              <w:rPr>
                <w:rFonts w:ascii="Calibri" w:hAnsi="Calibri" w:cs="Arial"/>
                <w:b/>
                <w:bCs/>
                <w:color w:val="FF0000"/>
                <w:sz w:val="28"/>
                <w:szCs w:val="28"/>
              </w:rPr>
              <w:t>21</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b/>
                <w:bCs/>
                <w:color w:val="000000"/>
                <w:sz w:val="18"/>
                <w:szCs w:val="18"/>
              </w:rPr>
            </w:pPr>
            <w:r>
              <w:rPr>
                <w:rFonts w:ascii="Calibri" w:hAnsi="Calibri" w:cs="Arial"/>
                <w:b/>
                <w:bCs/>
                <w:color w:val="000000"/>
                <w:sz w:val="18"/>
                <w:szCs w:val="18"/>
              </w:rPr>
              <w:t>Hearth Connection</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Default="00D61457" w:rsidP="000D1EE6">
            <w:pPr>
              <w:rPr>
                <w:rFonts w:ascii="Calibri" w:hAnsi="Calibri" w:cs="Arial"/>
                <w:color w:val="000000"/>
                <w:sz w:val="18"/>
                <w:szCs w:val="18"/>
              </w:rPr>
            </w:pPr>
            <w:r>
              <w:rPr>
                <w:rFonts w:ascii="Calibri" w:hAnsi="Calibri" w:cs="Arial"/>
                <w:color w:val="000000"/>
                <w:sz w:val="18"/>
                <w:szCs w:val="18"/>
              </w:rPr>
              <w:t>Hearth Expansion</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1457" w:rsidRDefault="00D61457" w:rsidP="000D1EE6">
            <w:pPr>
              <w:rPr>
                <w:rFonts w:ascii="Calibri" w:hAnsi="Calibri" w:cs="Arial"/>
                <w:color w:val="000000"/>
                <w:sz w:val="18"/>
                <w:szCs w:val="18"/>
              </w:rPr>
            </w:pPr>
          </w:p>
        </w:tc>
      </w:tr>
      <w:tr w:rsidR="00D61457" w:rsidRPr="000D1EE6" w:rsidTr="00C555EA">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Pr="000D1EE6" w:rsidRDefault="00D61457" w:rsidP="000D1EE6">
            <w:pPr>
              <w:jc w:val="center"/>
              <w:rPr>
                <w:rFonts w:ascii="Calibri" w:hAnsi="Calibri" w:cs="Arial"/>
                <w:b/>
                <w:bCs/>
                <w:color w:val="FF0000"/>
                <w:sz w:val="28"/>
                <w:szCs w:val="18"/>
              </w:rPr>
            </w:pPr>
            <w:r w:rsidRPr="000D1EE6">
              <w:rPr>
                <w:rFonts w:ascii="Calibri" w:hAnsi="Calibri" w:cs="Arial"/>
                <w:b/>
                <w:bCs/>
                <w:color w:val="FF0000"/>
                <w:sz w:val="28"/>
                <w:szCs w:val="18"/>
              </w:rPr>
              <w:t>21</w:t>
            </w:r>
          </w:p>
        </w:tc>
        <w:tc>
          <w:tcPr>
            <w:tcW w:w="7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Pr="000D1EE6" w:rsidRDefault="00D61457" w:rsidP="000D1EE6">
            <w:pPr>
              <w:jc w:val="center"/>
              <w:rPr>
                <w:rFonts w:ascii="Calibri" w:hAnsi="Calibri" w:cs="Arial"/>
                <w:b/>
                <w:bCs/>
                <w:color w:val="FF0000"/>
                <w:sz w:val="28"/>
                <w:szCs w:val="18"/>
              </w:rPr>
            </w:pPr>
            <w:r w:rsidRPr="000D1EE6">
              <w:rPr>
                <w:rFonts w:ascii="Calibri" w:hAnsi="Calibri" w:cs="Arial"/>
                <w:b/>
                <w:bCs/>
                <w:color w:val="FF0000"/>
                <w:sz w:val="28"/>
                <w:szCs w:val="18"/>
              </w:rPr>
              <w:t>24</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Pr="000D1EE6" w:rsidRDefault="00D61457" w:rsidP="000D1EE6">
            <w:pPr>
              <w:rPr>
                <w:rFonts w:ascii="Calibri" w:hAnsi="Calibri" w:cs="Arial"/>
                <w:b/>
                <w:bCs/>
                <w:sz w:val="18"/>
                <w:szCs w:val="18"/>
              </w:rPr>
            </w:pPr>
            <w:r w:rsidRPr="000D1EE6">
              <w:rPr>
                <w:rFonts w:ascii="Calibri" w:hAnsi="Calibri" w:cs="Arial"/>
                <w:b/>
                <w:bCs/>
                <w:sz w:val="18"/>
                <w:szCs w:val="18"/>
              </w:rPr>
              <w:t>Wilder Foundation</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Pr="000D1EE6" w:rsidRDefault="00D61457" w:rsidP="000D1EE6">
            <w:pPr>
              <w:rPr>
                <w:rFonts w:ascii="Calibri" w:hAnsi="Calibri" w:cs="Arial"/>
                <w:sz w:val="18"/>
                <w:szCs w:val="18"/>
              </w:rPr>
            </w:pPr>
            <w:r w:rsidRPr="000D1EE6">
              <w:rPr>
                <w:rFonts w:ascii="Calibri" w:hAnsi="Calibri" w:cs="Arial"/>
                <w:sz w:val="18"/>
                <w:szCs w:val="18"/>
              </w:rPr>
              <w:t>SMAC HMIS</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57" w:rsidRPr="000D1EE6" w:rsidRDefault="000D1EE6" w:rsidP="000D1EE6">
            <w:pPr>
              <w:rPr>
                <w:sz w:val="18"/>
                <w:szCs w:val="18"/>
              </w:rPr>
            </w:pPr>
            <w:r w:rsidRPr="000D1EE6">
              <w:rPr>
                <w:sz w:val="18"/>
                <w:szCs w:val="18"/>
              </w:rPr>
              <w:t>Moved from #24 to #22 due to SMAC’s priority to retain HMIS funding in Tier 1.</w:t>
            </w:r>
          </w:p>
        </w:tc>
      </w:tr>
      <w:tr w:rsidR="000D1EE6" w:rsidRPr="000D1EE6" w:rsidTr="00C555EA">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D1EE6" w:rsidRPr="000D1EE6" w:rsidRDefault="000D1EE6" w:rsidP="000D1EE6">
            <w:pPr>
              <w:jc w:val="center"/>
              <w:rPr>
                <w:rFonts w:ascii="Calibri" w:hAnsi="Calibri" w:cs="Arial"/>
                <w:b/>
                <w:bCs/>
                <w:color w:val="FF0000"/>
                <w:sz w:val="28"/>
                <w:szCs w:val="18"/>
              </w:rPr>
            </w:pPr>
            <w:r w:rsidRPr="000D1EE6">
              <w:rPr>
                <w:rFonts w:ascii="Calibri" w:hAnsi="Calibri" w:cs="Arial"/>
                <w:b/>
                <w:bCs/>
                <w:color w:val="FF0000"/>
                <w:sz w:val="28"/>
                <w:szCs w:val="18"/>
              </w:rPr>
              <w:t>22</w:t>
            </w:r>
          </w:p>
        </w:tc>
        <w:tc>
          <w:tcPr>
            <w:tcW w:w="7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D1EE6" w:rsidRPr="000D1EE6" w:rsidRDefault="000D1EE6" w:rsidP="000D1EE6">
            <w:pPr>
              <w:jc w:val="center"/>
              <w:rPr>
                <w:rFonts w:ascii="Calibri" w:hAnsi="Calibri" w:cs="Arial"/>
                <w:b/>
                <w:bCs/>
                <w:color w:val="FF0000"/>
                <w:sz w:val="28"/>
                <w:szCs w:val="18"/>
              </w:rPr>
            </w:pPr>
            <w:r w:rsidRPr="000D1EE6">
              <w:rPr>
                <w:rFonts w:ascii="Calibri" w:hAnsi="Calibri" w:cs="Arial"/>
                <w:b/>
                <w:bCs/>
                <w:color w:val="FF0000"/>
                <w:sz w:val="28"/>
                <w:szCs w:val="18"/>
              </w:rPr>
              <w:t>25</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D1EE6" w:rsidRPr="000D1EE6" w:rsidRDefault="000D1EE6" w:rsidP="000D1EE6">
            <w:pPr>
              <w:rPr>
                <w:rFonts w:ascii="Calibri" w:hAnsi="Calibri" w:cs="Arial"/>
                <w:b/>
                <w:bCs/>
                <w:sz w:val="18"/>
                <w:szCs w:val="18"/>
              </w:rPr>
            </w:pPr>
            <w:r w:rsidRPr="000D1EE6">
              <w:rPr>
                <w:rFonts w:ascii="Calibri" w:hAnsi="Calibri" w:cs="Arial"/>
                <w:b/>
                <w:bCs/>
                <w:sz w:val="18"/>
                <w:szCs w:val="18"/>
              </w:rPr>
              <w:t>Scott-Carver-Dakota CAP Agency</w:t>
            </w:r>
          </w:p>
        </w:tc>
        <w:tc>
          <w:tcPr>
            <w:tcW w:w="2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D1EE6" w:rsidRPr="000D1EE6" w:rsidRDefault="000D1EE6" w:rsidP="000D1EE6">
            <w:pPr>
              <w:rPr>
                <w:rFonts w:ascii="Calibri" w:hAnsi="Calibri" w:cs="Arial"/>
                <w:sz w:val="18"/>
                <w:szCs w:val="18"/>
              </w:rPr>
            </w:pPr>
            <w:r w:rsidRPr="000D1EE6">
              <w:rPr>
                <w:rFonts w:ascii="Calibri" w:hAnsi="Calibri" w:cs="Arial"/>
                <w:sz w:val="18"/>
                <w:szCs w:val="18"/>
              </w:rPr>
              <w:t>Scott/Carver HUD RRH</w:t>
            </w:r>
          </w:p>
        </w:tc>
        <w:tc>
          <w:tcPr>
            <w:tcW w:w="3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D1EE6" w:rsidRPr="000D1EE6" w:rsidRDefault="000D1EE6" w:rsidP="000D1EE6">
            <w:pPr>
              <w:rPr>
                <w:sz w:val="18"/>
                <w:szCs w:val="18"/>
              </w:rPr>
            </w:pPr>
            <w:r w:rsidRPr="000D1EE6">
              <w:rPr>
                <w:sz w:val="18"/>
                <w:szCs w:val="18"/>
              </w:rPr>
              <w:t>Moved from #25 to #22 due to:</w:t>
            </w:r>
          </w:p>
          <w:p w:rsidR="000D1EE6" w:rsidRPr="000D1EE6" w:rsidRDefault="000D1EE6" w:rsidP="000D1EE6">
            <w:pPr>
              <w:pStyle w:val="ListParagraph"/>
              <w:numPr>
                <w:ilvl w:val="0"/>
                <w:numId w:val="8"/>
              </w:numPr>
              <w:rPr>
                <w:sz w:val="18"/>
                <w:szCs w:val="18"/>
              </w:rPr>
            </w:pPr>
            <w:r w:rsidRPr="000D1EE6">
              <w:rPr>
                <w:sz w:val="18"/>
                <w:szCs w:val="18"/>
              </w:rPr>
              <w:t xml:space="preserve">Minimizing risks to family and RRH beds (Fewer projects in Tier 2).  </w:t>
            </w:r>
          </w:p>
          <w:p w:rsidR="000D1EE6" w:rsidRPr="000D1EE6" w:rsidRDefault="000D1EE6" w:rsidP="000D1EE6">
            <w:pPr>
              <w:pStyle w:val="ListParagraph"/>
              <w:numPr>
                <w:ilvl w:val="0"/>
                <w:numId w:val="8"/>
              </w:numPr>
              <w:rPr>
                <w:sz w:val="18"/>
                <w:szCs w:val="18"/>
              </w:rPr>
            </w:pPr>
            <w:r w:rsidRPr="000D1EE6">
              <w:rPr>
                <w:sz w:val="18"/>
                <w:szCs w:val="18"/>
              </w:rPr>
              <w:t xml:space="preserve">Underperformance was a concern, but not as historic of a problem as Dakota Supportive Housing Program. </w:t>
            </w:r>
          </w:p>
        </w:tc>
      </w:tr>
      <w:tr w:rsidR="000D1EE6" w:rsidRPr="000D1EE6" w:rsidTr="00C555EA">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D1EE6" w:rsidRPr="000D1EE6" w:rsidRDefault="000D1EE6" w:rsidP="000D1EE6">
            <w:pPr>
              <w:jc w:val="center"/>
              <w:rPr>
                <w:rFonts w:ascii="Calibri" w:hAnsi="Calibri" w:cs="Arial"/>
                <w:b/>
                <w:bCs/>
                <w:color w:val="FF0000"/>
                <w:sz w:val="28"/>
                <w:szCs w:val="18"/>
              </w:rPr>
            </w:pPr>
            <w:r w:rsidRPr="000D1EE6">
              <w:rPr>
                <w:rFonts w:ascii="Calibri" w:hAnsi="Calibri" w:cs="Arial"/>
                <w:b/>
                <w:bCs/>
                <w:color w:val="FF0000"/>
                <w:sz w:val="28"/>
                <w:szCs w:val="18"/>
              </w:rPr>
              <w:t>23</w:t>
            </w:r>
          </w:p>
        </w:tc>
        <w:tc>
          <w:tcPr>
            <w:tcW w:w="72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D1EE6" w:rsidRPr="000D1EE6" w:rsidRDefault="000D1EE6" w:rsidP="000D1EE6">
            <w:pPr>
              <w:jc w:val="center"/>
              <w:rPr>
                <w:rFonts w:ascii="Calibri" w:hAnsi="Calibri" w:cs="Arial"/>
                <w:b/>
                <w:bCs/>
                <w:color w:val="FF0000"/>
                <w:sz w:val="28"/>
                <w:szCs w:val="18"/>
              </w:rPr>
            </w:pPr>
            <w:r w:rsidRPr="000D1EE6">
              <w:rPr>
                <w:rFonts w:ascii="Calibri" w:hAnsi="Calibri" w:cs="Arial"/>
                <w:b/>
                <w:bCs/>
                <w:color w:val="FF0000"/>
                <w:sz w:val="28"/>
                <w:szCs w:val="18"/>
              </w:rPr>
              <w:t>23</w:t>
            </w:r>
          </w:p>
        </w:tc>
        <w:tc>
          <w:tcPr>
            <w:tcW w:w="26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D1EE6" w:rsidRPr="000D1EE6" w:rsidRDefault="000D1EE6" w:rsidP="000D1EE6">
            <w:pPr>
              <w:rPr>
                <w:rFonts w:ascii="Calibri" w:hAnsi="Calibri" w:cs="Arial"/>
                <w:b/>
                <w:bCs/>
                <w:color w:val="000000"/>
                <w:sz w:val="18"/>
                <w:szCs w:val="18"/>
              </w:rPr>
            </w:pPr>
            <w:r w:rsidRPr="000D1EE6">
              <w:rPr>
                <w:rFonts w:ascii="Calibri" w:hAnsi="Calibri" w:cs="Arial"/>
                <w:b/>
                <w:bCs/>
                <w:color w:val="000000"/>
                <w:sz w:val="18"/>
                <w:szCs w:val="18"/>
              </w:rPr>
              <w:t>Dakota County</w:t>
            </w:r>
          </w:p>
        </w:tc>
        <w:tc>
          <w:tcPr>
            <w:tcW w:w="269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D1EE6" w:rsidRPr="000D1EE6" w:rsidRDefault="000D1EE6" w:rsidP="000D1EE6">
            <w:pPr>
              <w:rPr>
                <w:rFonts w:ascii="Calibri" w:hAnsi="Calibri" w:cs="Arial"/>
                <w:color w:val="000000"/>
                <w:sz w:val="18"/>
                <w:szCs w:val="18"/>
              </w:rPr>
            </w:pPr>
            <w:r w:rsidRPr="000D1EE6">
              <w:rPr>
                <w:rFonts w:ascii="Calibri" w:hAnsi="Calibri" w:cs="Arial"/>
                <w:color w:val="000000"/>
                <w:sz w:val="18"/>
                <w:szCs w:val="18"/>
              </w:rPr>
              <w:t>Supportive Housing Program</w:t>
            </w:r>
          </w:p>
        </w:tc>
        <w:tc>
          <w:tcPr>
            <w:tcW w:w="39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D1EE6" w:rsidRPr="000D1EE6" w:rsidRDefault="000D1EE6" w:rsidP="000D1EE6">
            <w:pPr>
              <w:rPr>
                <w:rFonts w:ascii="Calibri" w:hAnsi="Calibri" w:cs="Arial"/>
                <w:color w:val="000000"/>
                <w:sz w:val="18"/>
                <w:szCs w:val="18"/>
              </w:rPr>
            </w:pPr>
            <w:r w:rsidRPr="000D1EE6">
              <w:rPr>
                <w:rFonts w:ascii="Calibri" w:hAnsi="Calibri" w:cs="Arial"/>
                <w:color w:val="000000"/>
                <w:sz w:val="18"/>
                <w:szCs w:val="18"/>
              </w:rPr>
              <w:t>Remained at #23 due to:</w:t>
            </w:r>
          </w:p>
          <w:p w:rsidR="000D1EE6" w:rsidRDefault="000D1EE6" w:rsidP="000D1EE6">
            <w:pPr>
              <w:pStyle w:val="ListParagraph"/>
              <w:numPr>
                <w:ilvl w:val="0"/>
                <w:numId w:val="7"/>
              </w:numPr>
              <w:rPr>
                <w:rFonts w:ascii="Calibri" w:hAnsi="Calibri" w:cs="Arial"/>
                <w:color w:val="000000"/>
                <w:sz w:val="18"/>
                <w:szCs w:val="18"/>
              </w:rPr>
            </w:pPr>
            <w:r>
              <w:rPr>
                <w:rFonts w:ascii="Calibri" w:hAnsi="Calibri" w:cs="Arial"/>
                <w:color w:val="000000"/>
                <w:sz w:val="18"/>
                <w:szCs w:val="18"/>
              </w:rPr>
              <w:t>Historic underperformance</w:t>
            </w:r>
          </w:p>
          <w:p w:rsidR="000D1EE6" w:rsidRDefault="000D1EE6" w:rsidP="000D1EE6">
            <w:pPr>
              <w:pStyle w:val="ListParagraph"/>
              <w:numPr>
                <w:ilvl w:val="0"/>
                <w:numId w:val="7"/>
              </w:numPr>
              <w:rPr>
                <w:rFonts w:ascii="Calibri" w:hAnsi="Calibri" w:cs="Arial"/>
                <w:color w:val="000000"/>
                <w:sz w:val="18"/>
                <w:szCs w:val="18"/>
              </w:rPr>
            </w:pPr>
            <w:r>
              <w:rPr>
                <w:rFonts w:ascii="Calibri" w:hAnsi="Calibri" w:cs="Arial"/>
                <w:color w:val="000000"/>
                <w:sz w:val="18"/>
                <w:szCs w:val="18"/>
              </w:rPr>
              <w:t>Appropriate sized project to straddle Tier 1/2</w:t>
            </w:r>
          </w:p>
          <w:p w:rsidR="000D1EE6" w:rsidRPr="000D1EE6" w:rsidRDefault="000D1EE6" w:rsidP="000D1EE6">
            <w:pPr>
              <w:pStyle w:val="ListParagraph"/>
              <w:numPr>
                <w:ilvl w:val="0"/>
                <w:numId w:val="7"/>
              </w:numPr>
              <w:rPr>
                <w:rFonts w:ascii="Calibri" w:hAnsi="Calibri" w:cs="Arial"/>
                <w:color w:val="000000"/>
                <w:sz w:val="18"/>
                <w:szCs w:val="18"/>
              </w:rPr>
            </w:pPr>
            <w:r>
              <w:rPr>
                <w:rFonts w:ascii="Calibri" w:hAnsi="Calibri" w:cs="Arial"/>
                <w:color w:val="000000"/>
                <w:sz w:val="18"/>
                <w:szCs w:val="18"/>
              </w:rPr>
              <w:t>Fewer projects in Tier 2 at risk</w:t>
            </w:r>
          </w:p>
        </w:tc>
      </w:tr>
      <w:tr w:rsidR="00D61457" w:rsidRPr="000D1EE6" w:rsidTr="00C555EA">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D61457" w:rsidRPr="000D1EE6" w:rsidRDefault="00D61457" w:rsidP="000D1EE6">
            <w:pPr>
              <w:jc w:val="center"/>
              <w:rPr>
                <w:rFonts w:ascii="Calibri" w:hAnsi="Calibri" w:cs="Arial"/>
                <w:b/>
                <w:bCs/>
                <w:color w:val="FF0000"/>
                <w:sz w:val="28"/>
                <w:szCs w:val="18"/>
              </w:rPr>
            </w:pPr>
            <w:r w:rsidRPr="000D1EE6">
              <w:rPr>
                <w:rFonts w:ascii="Calibri" w:hAnsi="Calibri" w:cs="Arial"/>
                <w:b/>
                <w:bCs/>
                <w:color w:val="FF0000"/>
                <w:sz w:val="28"/>
                <w:szCs w:val="18"/>
              </w:rPr>
              <w:t>24</w:t>
            </w:r>
          </w:p>
        </w:tc>
        <w:tc>
          <w:tcPr>
            <w:tcW w:w="72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D61457" w:rsidRPr="000D1EE6" w:rsidRDefault="00D61457" w:rsidP="000D1EE6">
            <w:pPr>
              <w:jc w:val="center"/>
              <w:rPr>
                <w:rFonts w:ascii="Calibri" w:hAnsi="Calibri" w:cs="Arial"/>
                <w:b/>
                <w:bCs/>
                <w:color w:val="FF0000"/>
                <w:sz w:val="28"/>
                <w:szCs w:val="18"/>
              </w:rPr>
            </w:pPr>
            <w:r w:rsidRPr="000D1EE6">
              <w:rPr>
                <w:rFonts w:ascii="Calibri" w:hAnsi="Calibri" w:cs="Arial"/>
                <w:b/>
                <w:bCs/>
                <w:color w:val="FF0000"/>
                <w:sz w:val="28"/>
                <w:szCs w:val="18"/>
              </w:rPr>
              <w:t>22</w:t>
            </w:r>
          </w:p>
        </w:tc>
        <w:tc>
          <w:tcPr>
            <w:tcW w:w="269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D61457" w:rsidRPr="000D1EE6" w:rsidRDefault="00D61457" w:rsidP="000D1EE6">
            <w:pPr>
              <w:rPr>
                <w:rFonts w:ascii="Calibri" w:hAnsi="Calibri" w:cs="Arial"/>
                <w:b/>
                <w:bCs/>
                <w:sz w:val="18"/>
                <w:szCs w:val="18"/>
              </w:rPr>
            </w:pPr>
            <w:r w:rsidRPr="000D1EE6">
              <w:rPr>
                <w:rFonts w:ascii="Calibri" w:hAnsi="Calibri" w:cs="Arial"/>
                <w:b/>
                <w:bCs/>
                <w:sz w:val="18"/>
                <w:szCs w:val="18"/>
              </w:rPr>
              <w:t>Mental Health Resources, Inc.</w:t>
            </w:r>
          </w:p>
        </w:tc>
        <w:tc>
          <w:tcPr>
            <w:tcW w:w="26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D61457" w:rsidRPr="000D1EE6" w:rsidRDefault="00D61457" w:rsidP="000D1EE6">
            <w:pPr>
              <w:rPr>
                <w:rFonts w:ascii="Calibri" w:hAnsi="Calibri" w:cs="Arial"/>
                <w:sz w:val="18"/>
                <w:szCs w:val="18"/>
              </w:rPr>
            </w:pPr>
            <w:r w:rsidRPr="000D1EE6">
              <w:rPr>
                <w:rFonts w:ascii="Calibri" w:hAnsi="Calibri" w:cs="Arial"/>
                <w:sz w:val="18"/>
                <w:szCs w:val="18"/>
              </w:rPr>
              <w:t>Permanent Housing for Chronically Homeless</w:t>
            </w:r>
          </w:p>
        </w:tc>
        <w:tc>
          <w:tcPr>
            <w:tcW w:w="39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0D1EE6" w:rsidRDefault="000D1EE6" w:rsidP="000D1EE6">
            <w:pPr>
              <w:rPr>
                <w:sz w:val="18"/>
                <w:szCs w:val="18"/>
              </w:rPr>
            </w:pPr>
            <w:r>
              <w:rPr>
                <w:sz w:val="18"/>
                <w:szCs w:val="18"/>
              </w:rPr>
              <w:t>Moved</w:t>
            </w:r>
            <w:r w:rsidRPr="000D1EE6">
              <w:rPr>
                <w:sz w:val="18"/>
                <w:szCs w:val="18"/>
              </w:rPr>
              <w:t xml:space="preserve"> from #</w:t>
            </w:r>
            <w:r>
              <w:rPr>
                <w:sz w:val="18"/>
                <w:szCs w:val="18"/>
              </w:rPr>
              <w:t>22 to #24 due to:</w:t>
            </w:r>
          </w:p>
          <w:p w:rsidR="000D1EE6" w:rsidRDefault="000D1EE6" w:rsidP="000D1EE6">
            <w:pPr>
              <w:pStyle w:val="ListParagraph"/>
              <w:numPr>
                <w:ilvl w:val="0"/>
                <w:numId w:val="9"/>
              </w:numPr>
              <w:rPr>
                <w:sz w:val="18"/>
                <w:szCs w:val="18"/>
              </w:rPr>
            </w:pPr>
            <w:r>
              <w:rPr>
                <w:sz w:val="18"/>
                <w:szCs w:val="18"/>
              </w:rPr>
              <w:t>L</w:t>
            </w:r>
            <w:r w:rsidRPr="000D1EE6">
              <w:rPr>
                <w:sz w:val="18"/>
                <w:szCs w:val="18"/>
              </w:rPr>
              <w:t xml:space="preserve">owest scoring </w:t>
            </w:r>
            <w:r>
              <w:rPr>
                <w:sz w:val="18"/>
                <w:szCs w:val="18"/>
              </w:rPr>
              <w:t>PSH project</w:t>
            </w:r>
            <w:r w:rsidRPr="000D1EE6">
              <w:rPr>
                <w:sz w:val="18"/>
                <w:szCs w:val="18"/>
              </w:rPr>
              <w:t>.</w:t>
            </w:r>
            <w:r>
              <w:rPr>
                <w:sz w:val="18"/>
                <w:szCs w:val="18"/>
              </w:rPr>
              <w:t xml:space="preserve">  We did not to put only RRH in Tier 2.</w:t>
            </w:r>
          </w:p>
          <w:p w:rsidR="00D61457" w:rsidRPr="000D1EE6" w:rsidRDefault="000D1EE6" w:rsidP="000D1EE6">
            <w:pPr>
              <w:pStyle w:val="ListParagraph"/>
              <w:numPr>
                <w:ilvl w:val="0"/>
                <w:numId w:val="9"/>
              </w:numPr>
              <w:rPr>
                <w:sz w:val="18"/>
                <w:szCs w:val="18"/>
              </w:rPr>
            </w:pPr>
            <w:r>
              <w:rPr>
                <w:sz w:val="18"/>
                <w:szCs w:val="18"/>
              </w:rPr>
              <w:t>P</w:t>
            </w:r>
            <w:r w:rsidRPr="000D1EE6">
              <w:rPr>
                <w:sz w:val="18"/>
                <w:szCs w:val="18"/>
              </w:rPr>
              <w:t xml:space="preserve">ut only 2 beds at risk </w:t>
            </w:r>
          </w:p>
        </w:tc>
      </w:tr>
      <w:tr w:rsidR="00D61457" w:rsidRPr="000D1EE6" w:rsidTr="00C555EA">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D61457" w:rsidRPr="000D1EE6" w:rsidRDefault="00D61457" w:rsidP="000D1EE6">
            <w:pPr>
              <w:jc w:val="center"/>
              <w:rPr>
                <w:rFonts w:ascii="Calibri" w:hAnsi="Calibri" w:cs="Arial"/>
                <w:b/>
                <w:bCs/>
                <w:color w:val="FF0000"/>
                <w:sz w:val="28"/>
                <w:szCs w:val="18"/>
              </w:rPr>
            </w:pPr>
            <w:r w:rsidRPr="000D1EE6">
              <w:rPr>
                <w:rFonts w:ascii="Calibri" w:hAnsi="Calibri" w:cs="Arial"/>
                <w:b/>
                <w:bCs/>
                <w:color w:val="FF0000"/>
                <w:sz w:val="28"/>
                <w:szCs w:val="18"/>
              </w:rPr>
              <w:t>25</w:t>
            </w:r>
          </w:p>
        </w:tc>
        <w:tc>
          <w:tcPr>
            <w:tcW w:w="72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D61457" w:rsidRPr="000D1EE6" w:rsidRDefault="00D61457" w:rsidP="000D1EE6">
            <w:pPr>
              <w:jc w:val="center"/>
              <w:rPr>
                <w:rFonts w:ascii="Calibri" w:hAnsi="Calibri" w:cs="Arial"/>
                <w:b/>
                <w:bCs/>
                <w:color w:val="FF0000"/>
                <w:sz w:val="28"/>
                <w:szCs w:val="18"/>
              </w:rPr>
            </w:pPr>
            <w:r w:rsidRPr="000D1EE6">
              <w:rPr>
                <w:rFonts w:ascii="Calibri" w:hAnsi="Calibri" w:cs="Arial"/>
                <w:b/>
                <w:bCs/>
                <w:color w:val="FF0000"/>
                <w:sz w:val="28"/>
                <w:szCs w:val="18"/>
              </w:rPr>
              <w:t>20</w:t>
            </w:r>
          </w:p>
        </w:tc>
        <w:tc>
          <w:tcPr>
            <w:tcW w:w="269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D61457" w:rsidRPr="000D1EE6" w:rsidRDefault="00D61457" w:rsidP="000D1EE6">
            <w:pPr>
              <w:rPr>
                <w:rFonts w:ascii="Calibri" w:hAnsi="Calibri" w:cs="Arial"/>
                <w:b/>
                <w:bCs/>
                <w:sz w:val="18"/>
                <w:szCs w:val="18"/>
              </w:rPr>
            </w:pPr>
            <w:r w:rsidRPr="000D1EE6">
              <w:rPr>
                <w:rFonts w:ascii="Calibri" w:hAnsi="Calibri" w:cs="Arial"/>
                <w:b/>
                <w:bCs/>
                <w:sz w:val="18"/>
                <w:szCs w:val="18"/>
              </w:rPr>
              <w:t>The Link</w:t>
            </w:r>
          </w:p>
        </w:tc>
        <w:tc>
          <w:tcPr>
            <w:tcW w:w="26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D61457" w:rsidRPr="000D1EE6" w:rsidRDefault="00D61457" w:rsidP="000D1EE6">
            <w:pPr>
              <w:rPr>
                <w:rFonts w:ascii="Calibri" w:hAnsi="Calibri" w:cs="Arial"/>
                <w:sz w:val="18"/>
                <w:szCs w:val="18"/>
              </w:rPr>
            </w:pPr>
            <w:r w:rsidRPr="000D1EE6">
              <w:rPr>
                <w:rFonts w:ascii="Calibri" w:hAnsi="Calibri" w:cs="Arial"/>
                <w:sz w:val="18"/>
                <w:szCs w:val="18"/>
              </w:rPr>
              <w:t>New RRH</w:t>
            </w:r>
          </w:p>
        </w:tc>
        <w:tc>
          <w:tcPr>
            <w:tcW w:w="39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D61457" w:rsidRPr="000D1EE6" w:rsidRDefault="00C555EA" w:rsidP="000D1EE6">
            <w:pPr>
              <w:rPr>
                <w:sz w:val="18"/>
                <w:szCs w:val="18"/>
              </w:rPr>
            </w:pPr>
            <w:r>
              <w:rPr>
                <w:sz w:val="18"/>
                <w:szCs w:val="18"/>
              </w:rPr>
              <w:t>M</w:t>
            </w:r>
            <w:r w:rsidR="000D1EE6" w:rsidRPr="000D1EE6">
              <w:rPr>
                <w:sz w:val="18"/>
                <w:szCs w:val="18"/>
              </w:rPr>
              <w:t>oved from #20 to #25 to reside in the bottom of Tier 2 in order to avoid putting renewal projects at risk.</w:t>
            </w:r>
          </w:p>
        </w:tc>
      </w:tr>
    </w:tbl>
    <w:p w:rsidR="007367F5" w:rsidRPr="007367F5" w:rsidRDefault="007367F5" w:rsidP="007367F5">
      <w:pPr>
        <w:rPr>
          <w:b/>
        </w:rPr>
      </w:pPr>
    </w:p>
    <w:sectPr w:rsidR="007367F5" w:rsidRPr="007367F5" w:rsidSect="00F1337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EC" w:rsidRDefault="005916EC" w:rsidP="00D95558">
      <w:r>
        <w:separator/>
      </w:r>
    </w:p>
  </w:endnote>
  <w:endnote w:type="continuationSeparator" w:id="0">
    <w:p w:rsidR="005916EC" w:rsidRDefault="005916EC" w:rsidP="00D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77" w:rsidRPr="00A61655" w:rsidRDefault="00F13377">
    <w:pPr>
      <w:pStyle w:val="Footer"/>
      <w:rPr>
        <w:b/>
      </w:rPr>
    </w:pPr>
    <w:r>
      <w:rPr>
        <w:noProof/>
        <w:color w:val="5B9BD5" w:themeColor="accent1"/>
      </w:rPr>
      <mc:AlternateContent>
        <mc:Choice Requires="wps">
          <w:drawing>
            <wp:anchor distT="0" distB="0" distL="114300" distR="114300" simplePos="0" relativeHeight="251659264" behindDoc="0" locked="0" layoutInCell="1" allowOverlap="1" wp14:anchorId="1EC8CE15" wp14:editId="1896C30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061F4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A61655">
      <w:rPr>
        <w:rFonts w:eastAsiaTheme="majorEastAsia" w:cstheme="majorBidi"/>
        <w:b/>
        <w:color w:val="1F3864" w:themeColor="accent5" w:themeShade="80"/>
        <w:sz w:val="20"/>
        <w:szCs w:val="20"/>
      </w:rPr>
      <w:t xml:space="preserve">pg. </w:t>
    </w:r>
    <w:r w:rsidRPr="00A61655">
      <w:rPr>
        <w:rFonts w:eastAsiaTheme="minorEastAsia"/>
        <w:b/>
        <w:color w:val="1F3864" w:themeColor="accent5" w:themeShade="80"/>
        <w:sz w:val="20"/>
        <w:szCs w:val="20"/>
      </w:rPr>
      <w:fldChar w:fldCharType="begin"/>
    </w:r>
    <w:r w:rsidRPr="00A61655">
      <w:rPr>
        <w:b/>
        <w:color w:val="1F3864" w:themeColor="accent5" w:themeShade="80"/>
        <w:sz w:val="20"/>
        <w:szCs w:val="20"/>
      </w:rPr>
      <w:instrText xml:space="preserve"> PAGE    \* MERGEFORMAT </w:instrText>
    </w:r>
    <w:r w:rsidRPr="00A61655">
      <w:rPr>
        <w:rFonts w:eastAsiaTheme="minorEastAsia"/>
        <w:b/>
        <w:color w:val="1F3864" w:themeColor="accent5" w:themeShade="80"/>
        <w:sz w:val="20"/>
        <w:szCs w:val="20"/>
      </w:rPr>
      <w:fldChar w:fldCharType="separate"/>
    </w:r>
    <w:r w:rsidR="00AF46E1" w:rsidRPr="00AF46E1">
      <w:rPr>
        <w:rFonts w:eastAsiaTheme="majorEastAsia" w:cstheme="majorBidi"/>
        <w:b/>
        <w:noProof/>
        <w:color w:val="1F3864" w:themeColor="accent5" w:themeShade="80"/>
        <w:sz w:val="20"/>
        <w:szCs w:val="20"/>
      </w:rPr>
      <w:t>1</w:t>
    </w:r>
    <w:r w:rsidRPr="00A61655">
      <w:rPr>
        <w:rFonts w:eastAsiaTheme="majorEastAsia" w:cstheme="majorBidi"/>
        <w:b/>
        <w:noProof/>
        <w:color w:val="1F3864" w:themeColor="accent5" w:themeShade="80"/>
        <w:sz w:val="20"/>
        <w:szCs w:val="20"/>
      </w:rPr>
      <w:fldChar w:fldCharType="end"/>
    </w:r>
    <w:r w:rsidR="00BF31D5">
      <w:rPr>
        <w:rFonts w:eastAsiaTheme="majorEastAsia" w:cstheme="majorBidi"/>
        <w:b/>
        <w:noProof/>
        <w:color w:val="1F3864" w:themeColor="accent5" w:themeShade="80"/>
        <w:sz w:val="20"/>
        <w:szCs w:val="20"/>
      </w:rPr>
      <w:tab/>
    </w:r>
    <w:r w:rsidR="00BF31D5">
      <w:rPr>
        <w:rFonts w:eastAsiaTheme="majorEastAsia" w:cstheme="majorBidi"/>
        <w:b/>
        <w:noProof/>
        <w:color w:val="1F3864" w:themeColor="accent5" w:themeShade="80"/>
        <w:sz w:val="20"/>
        <w:szCs w:val="20"/>
      </w:rPr>
      <w:tab/>
    </w:r>
    <w:r w:rsidR="00BF31D5">
      <w:rPr>
        <w:rFonts w:eastAsiaTheme="majorEastAsia" w:cstheme="majorBidi"/>
        <w:b/>
        <w:noProof/>
        <w:color w:val="1F3864" w:themeColor="accent5" w:themeShade="80"/>
        <w:sz w:val="20"/>
        <w:szCs w:val="20"/>
      </w:rPr>
      <w:tab/>
      <w:t>11/4/15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EC" w:rsidRDefault="005916EC" w:rsidP="00D95558">
      <w:r>
        <w:separator/>
      </w:r>
    </w:p>
  </w:footnote>
  <w:footnote w:type="continuationSeparator" w:id="0">
    <w:p w:rsidR="005916EC" w:rsidRDefault="005916EC" w:rsidP="00D9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77" w:rsidRPr="00A61655" w:rsidRDefault="00F13377" w:rsidP="00430FB8">
    <w:pPr>
      <w:jc w:val="right"/>
      <w:rPr>
        <w:b/>
      </w:rPr>
    </w:pPr>
    <w:r w:rsidRPr="00A61655">
      <w:rPr>
        <w:b/>
      </w:rPr>
      <w:t xml:space="preserve">SMAC Ranking Sheet   |   </w:t>
    </w:r>
    <w:r w:rsidR="00BF31D5">
      <w:rPr>
        <w:b/>
        <w:color w:val="1F3864" w:themeColor="accent5" w:themeShade="80"/>
      </w:rPr>
      <w:t>2015</w:t>
    </w:r>
  </w:p>
  <w:p w:rsidR="00F13377" w:rsidRDefault="00F13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F5C"/>
    <w:multiLevelType w:val="hybridMultilevel"/>
    <w:tmpl w:val="425E6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2D692F"/>
    <w:multiLevelType w:val="hybridMultilevel"/>
    <w:tmpl w:val="DB864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022358"/>
    <w:multiLevelType w:val="hybridMultilevel"/>
    <w:tmpl w:val="477231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23F62A6"/>
    <w:multiLevelType w:val="hybridMultilevel"/>
    <w:tmpl w:val="9104E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B35D80"/>
    <w:multiLevelType w:val="hybridMultilevel"/>
    <w:tmpl w:val="99D045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8E35D64"/>
    <w:multiLevelType w:val="hybridMultilevel"/>
    <w:tmpl w:val="F97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00AE7"/>
    <w:multiLevelType w:val="hybridMultilevel"/>
    <w:tmpl w:val="FA763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910605"/>
    <w:multiLevelType w:val="hybridMultilevel"/>
    <w:tmpl w:val="3730A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09513D"/>
    <w:multiLevelType w:val="hybridMultilevel"/>
    <w:tmpl w:val="A2BCB3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2"/>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DC"/>
    <w:rsid w:val="00013DF7"/>
    <w:rsid w:val="00043EE7"/>
    <w:rsid w:val="00056E20"/>
    <w:rsid w:val="00062437"/>
    <w:rsid w:val="000640C7"/>
    <w:rsid w:val="000B189E"/>
    <w:rsid w:val="000B248A"/>
    <w:rsid w:val="000D1EE6"/>
    <w:rsid w:val="001012DC"/>
    <w:rsid w:val="00110B45"/>
    <w:rsid w:val="001355C8"/>
    <w:rsid w:val="001518B1"/>
    <w:rsid w:val="0018086D"/>
    <w:rsid w:val="001A6E2A"/>
    <w:rsid w:val="001D3C31"/>
    <w:rsid w:val="001F0659"/>
    <w:rsid w:val="00230BEA"/>
    <w:rsid w:val="00291943"/>
    <w:rsid w:val="003371AE"/>
    <w:rsid w:val="003D5FA4"/>
    <w:rsid w:val="00412D08"/>
    <w:rsid w:val="00430FB8"/>
    <w:rsid w:val="00490B94"/>
    <w:rsid w:val="00556429"/>
    <w:rsid w:val="005600DC"/>
    <w:rsid w:val="005916EC"/>
    <w:rsid w:val="005A10FD"/>
    <w:rsid w:val="005E6B10"/>
    <w:rsid w:val="00604035"/>
    <w:rsid w:val="00666D86"/>
    <w:rsid w:val="006916A0"/>
    <w:rsid w:val="007367F5"/>
    <w:rsid w:val="00782117"/>
    <w:rsid w:val="007B534A"/>
    <w:rsid w:val="007E5351"/>
    <w:rsid w:val="007F2ABC"/>
    <w:rsid w:val="00825140"/>
    <w:rsid w:val="0085770B"/>
    <w:rsid w:val="0089035F"/>
    <w:rsid w:val="00946902"/>
    <w:rsid w:val="009814F7"/>
    <w:rsid w:val="009D3192"/>
    <w:rsid w:val="00A04A82"/>
    <w:rsid w:val="00A85715"/>
    <w:rsid w:val="00A97E00"/>
    <w:rsid w:val="00AA2822"/>
    <w:rsid w:val="00AF46E1"/>
    <w:rsid w:val="00B01422"/>
    <w:rsid w:val="00B22D4E"/>
    <w:rsid w:val="00B339F1"/>
    <w:rsid w:val="00B40545"/>
    <w:rsid w:val="00B571A6"/>
    <w:rsid w:val="00BD38DA"/>
    <w:rsid w:val="00BF31D5"/>
    <w:rsid w:val="00C555EA"/>
    <w:rsid w:val="00C756B5"/>
    <w:rsid w:val="00CF762A"/>
    <w:rsid w:val="00D05571"/>
    <w:rsid w:val="00D16156"/>
    <w:rsid w:val="00D61457"/>
    <w:rsid w:val="00D75A00"/>
    <w:rsid w:val="00D9141A"/>
    <w:rsid w:val="00D95558"/>
    <w:rsid w:val="00E10A58"/>
    <w:rsid w:val="00E4484B"/>
    <w:rsid w:val="00E62DA7"/>
    <w:rsid w:val="00E93221"/>
    <w:rsid w:val="00F13377"/>
    <w:rsid w:val="00F9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E32B7-1079-445E-AABB-052E410D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C8"/>
    <w:pPr>
      <w:ind w:left="720"/>
      <w:contextualSpacing/>
    </w:pPr>
  </w:style>
  <w:style w:type="paragraph" w:styleId="FootnoteText">
    <w:name w:val="footnote text"/>
    <w:basedOn w:val="Normal"/>
    <w:link w:val="FootnoteTextChar"/>
    <w:uiPriority w:val="99"/>
    <w:semiHidden/>
    <w:unhideWhenUsed/>
    <w:rsid w:val="00D95558"/>
    <w:rPr>
      <w:sz w:val="20"/>
      <w:szCs w:val="20"/>
    </w:rPr>
  </w:style>
  <w:style w:type="character" w:customStyle="1" w:styleId="FootnoteTextChar">
    <w:name w:val="Footnote Text Char"/>
    <w:basedOn w:val="DefaultParagraphFont"/>
    <w:link w:val="FootnoteText"/>
    <w:uiPriority w:val="99"/>
    <w:semiHidden/>
    <w:rsid w:val="00D95558"/>
    <w:rPr>
      <w:sz w:val="20"/>
      <w:szCs w:val="20"/>
    </w:rPr>
  </w:style>
  <w:style w:type="character" w:styleId="FootnoteReference">
    <w:name w:val="footnote reference"/>
    <w:basedOn w:val="DefaultParagraphFont"/>
    <w:uiPriority w:val="99"/>
    <w:semiHidden/>
    <w:unhideWhenUsed/>
    <w:rsid w:val="00D95558"/>
    <w:rPr>
      <w:vertAlign w:val="superscript"/>
    </w:rPr>
  </w:style>
  <w:style w:type="paragraph" w:styleId="Header">
    <w:name w:val="header"/>
    <w:basedOn w:val="Normal"/>
    <w:link w:val="HeaderChar"/>
    <w:uiPriority w:val="99"/>
    <w:unhideWhenUsed/>
    <w:rsid w:val="001D3C31"/>
    <w:pPr>
      <w:tabs>
        <w:tab w:val="center" w:pos="4680"/>
        <w:tab w:val="right" w:pos="9360"/>
      </w:tabs>
    </w:pPr>
  </w:style>
  <w:style w:type="character" w:customStyle="1" w:styleId="HeaderChar">
    <w:name w:val="Header Char"/>
    <w:basedOn w:val="DefaultParagraphFont"/>
    <w:link w:val="Header"/>
    <w:uiPriority w:val="99"/>
    <w:rsid w:val="001D3C31"/>
  </w:style>
  <w:style w:type="paragraph" w:styleId="Footer">
    <w:name w:val="footer"/>
    <w:basedOn w:val="Normal"/>
    <w:link w:val="FooterChar"/>
    <w:uiPriority w:val="99"/>
    <w:unhideWhenUsed/>
    <w:rsid w:val="001D3C31"/>
    <w:pPr>
      <w:tabs>
        <w:tab w:val="center" w:pos="4680"/>
        <w:tab w:val="right" w:pos="9360"/>
      </w:tabs>
    </w:pPr>
  </w:style>
  <w:style w:type="character" w:customStyle="1" w:styleId="FooterChar">
    <w:name w:val="Footer Char"/>
    <w:basedOn w:val="DefaultParagraphFont"/>
    <w:link w:val="Footer"/>
    <w:uiPriority w:val="99"/>
    <w:rsid w:val="001D3C31"/>
  </w:style>
  <w:style w:type="character" w:styleId="Hyperlink">
    <w:name w:val="Hyperlink"/>
    <w:basedOn w:val="DefaultParagraphFont"/>
    <w:uiPriority w:val="99"/>
    <w:unhideWhenUsed/>
    <w:rsid w:val="00C55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55479">
      <w:bodyDiv w:val="1"/>
      <w:marLeft w:val="0"/>
      <w:marRight w:val="0"/>
      <w:marTop w:val="0"/>
      <w:marBottom w:val="0"/>
      <w:divBdr>
        <w:top w:val="none" w:sz="0" w:space="0" w:color="auto"/>
        <w:left w:val="none" w:sz="0" w:space="0" w:color="auto"/>
        <w:bottom w:val="none" w:sz="0" w:space="0" w:color="auto"/>
        <w:right w:val="none" w:sz="0" w:space="0" w:color="auto"/>
      </w:divBdr>
    </w:div>
    <w:div w:id="754938488">
      <w:bodyDiv w:val="1"/>
      <w:marLeft w:val="0"/>
      <w:marRight w:val="0"/>
      <w:marTop w:val="0"/>
      <w:marBottom w:val="0"/>
      <w:divBdr>
        <w:top w:val="none" w:sz="0" w:space="0" w:color="auto"/>
        <w:left w:val="none" w:sz="0" w:space="0" w:color="auto"/>
        <w:bottom w:val="none" w:sz="0" w:space="0" w:color="auto"/>
        <w:right w:val="none" w:sz="0" w:space="0" w:color="auto"/>
      </w:divBdr>
    </w:div>
    <w:div w:id="916406490">
      <w:bodyDiv w:val="1"/>
      <w:marLeft w:val="0"/>
      <w:marRight w:val="0"/>
      <w:marTop w:val="0"/>
      <w:marBottom w:val="0"/>
      <w:divBdr>
        <w:top w:val="none" w:sz="0" w:space="0" w:color="auto"/>
        <w:left w:val="none" w:sz="0" w:space="0" w:color="auto"/>
        <w:bottom w:val="none" w:sz="0" w:space="0" w:color="auto"/>
        <w:right w:val="none" w:sz="0" w:space="0" w:color="auto"/>
      </w:divBdr>
    </w:div>
    <w:div w:id="1005790506">
      <w:bodyDiv w:val="1"/>
      <w:marLeft w:val="0"/>
      <w:marRight w:val="0"/>
      <w:marTop w:val="0"/>
      <w:marBottom w:val="0"/>
      <w:divBdr>
        <w:top w:val="none" w:sz="0" w:space="0" w:color="auto"/>
        <w:left w:val="none" w:sz="0" w:space="0" w:color="auto"/>
        <w:bottom w:val="none" w:sz="0" w:space="0" w:color="auto"/>
        <w:right w:val="none" w:sz="0" w:space="0" w:color="auto"/>
      </w:divBdr>
    </w:div>
    <w:div w:id="1116292634">
      <w:bodyDiv w:val="1"/>
      <w:marLeft w:val="0"/>
      <w:marRight w:val="0"/>
      <w:marTop w:val="0"/>
      <w:marBottom w:val="0"/>
      <w:divBdr>
        <w:top w:val="none" w:sz="0" w:space="0" w:color="auto"/>
        <w:left w:val="none" w:sz="0" w:space="0" w:color="auto"/>
        <w:bottom w:val="none" w:sz="0" w:space="0" w:color="auto"/>
        <w:right w:val="none" w:sz="0" w:space="0" w:color="auto"/>
      </w:divBdr>
    </w:div>
    <w:div w:id="1525363217">
      <w:bodyDiv w:val="1"/>
      <w:marLeft w:val="0"/>
      <w:marRight w:val="0"/>
      <w:marTop w:val="0"/>
      <w:marBottom w:val="0"/>
      <w:divBdr>
        <w:top w:val="none" w:sz="0" w:space="0" w:color="auto"/>
        <w:left w:val="none" w:sz="0" w:space="0" w:color="auto"/>
        <w:bottom w:val="none" w:sz="0" w:space="0" w:color="auto"/>
        <w:right w:val="none" w:sz="0" w:space="0" w:color="auto"/>
      </w:divBdr>
    </w:div>
    <w:div w:id="1604724391">
      <w:bodyDiv w:val="1"/>
      <w:marLeft w:val="0"/>
      <w:marRight w:val="0"/>
      <w:marTop w:val="0"/>
      <w:marBottom w:val="0"/>
      <w:divBdr>
        <w:top w:val="none" w:sz="0" w:space="0" w:color="auto"/>
        <w:left w:val="none" w:sz="0" w:space="0" w:color="auto"/>
        <w:bottom w:val="none" w:sz="0" w:space="0" w:color="auto"/>
        <w:right w:val="none" w:sz="0" w:space="0" w:color="auto"/>
      </w:divBdr>
    </w:div>
    <w:div w:id="1636570655">
      <w:bodyDiv w:val="1"/>
      <w:marLeft w:val="0"/>
      <w:marRight w:val="0"/>
      <w:marTop w:val="0"/>
      <w:marBottom w:val="0"/>
      <w:divBdr>
        <w:top w:val="none" w:sz="0" w:space="0" w:color="auto"/>
        <w:left w:val="none" w:sz="0" w:space="0" w:color="auto"/>
        <w:bottom w:val="none" w:sz="0" w:space="0" w:color="auto"/>
        <w:right w:val="none" w:sz="0" w:space="0" w:color="auto"/>
      </w:divBdr>
    </w:div>
    <w:div w:id="1730299791">
      <w:bodyDiv w:val="1"/>
      <w:marLeft w:val="0"/>
      <w:marRight w:val="0"/>
      <w:marTop w:val="0"/>
      <w:marBottom w:val="0"/>
      <w:divBdr>
        <w:top w:val="none" w:sz="0" w:space="0" w:color="auto"/>
        <w:left w:val="none" w:sz="0" w:space="0" w:color="auto"/>
        <w:bottom w:val="none" w:sz="0" w:space="0" w:color="auto"/>
        <w:right w:val="none" w:sz="0" w:space="0" w:color="auto"/>
      </w:divBdr>
    </w:div>
    <w:div w:id="19722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h-m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A944-5A98-41C6-A87D-0DD83D8D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Manhard</dc:creator>
  <cp:keywords/>
  <dc:description/>
  <cp:lastModifiedBy>Mike Manhard</cp:lastModifiedBy>
  <cp:revision>3</cp:revision>
  <cp:lastPrinted>2014-01-30T16:29:00Z</cp:lastPrinted>
  <dcterms:created xsi:type="dcterms:W3CDTF">2015-11-08T23:13:00Z</dcterms:created>
  <dcterms:modified xsi:type="dcterms:W3CDTF">2015-11-08T23:13:00Z</dcterms:modified>
</cp:coreProperties>
</file>