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E3" w:rsidRDefault="00EA46E3" w:rsidP="00A41601">
      <w:pPr>
        <w:autoSpaceDE w:val="0"/>
        <w:autoSpaceDN w:val="0"/>
        <w:adjustRightInd w:val="0"/>
        <w:rPr>
          <w:rFonts w:asciiTheme="minorHAnsi" w:hAnsiTheme="minorHAnsi"/>
        </w:rPr>
      </w:pPr>
      <w:bookmarkStart w:id="0" w:name="_GoBack"/>
      <w:bookmarkEnd w:id="0"/>
    </w:p>
    <w:p w:rsidR="00EA46E3" w:rsidRPr="0042588B" w:rsidRDefault="00C41FFC" w:rsidP="00A41601">
      <w:pPr>
        <w:pBdr>
          <w:bottom w:val="single" w:sz="4" w:space="1" w:color="auto"/>
        </w:pBdr>
        <w:shd w:val="clear" w:color="auto" w:fill="B8CCE4" w:themeFill="accent1" w:themeFillTint="66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Prioritization and Reallocation</w:t>
      </w:r>
      <w:r w:rsidR="00EA46E3" w:rsidRPr="0042588B">
        <w:rPr>
          <w:rFonts w:asciiTheme="minorHAnsi" w:hAnsiTheme="minorHAnsi"/>
          <w:b/>
        </w:rPr>
        <w:t xml:space="preserve"> for SMAC 2015</w:t>
      </w:r>
    </w:p>
    <w:p w:rsidR="00EA46E3" w:rsidRDefault="00EA46E3" w:rsidP="00A41601">
      <w:pPr>
        <w:autoSpaceDE w:val="0"/>
        <w:autoSpaceDN w:val="0"/>
        <w:adjustRightInd w:val="0"/>
        <w:rPr>
          <w:rFonts w:asciiTheme="minorHAnsi" w:hAnsiTheme="minorHAnsi"/>
        </w:rPr>
      </w:pPr>
    </w:p>
    <w:p w:rsidR="00EA46E3" w:rsidRPr="00D548BF" w:rsidRDefault="0042588B" w:rsidP="00A41601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D548BF">
        <w:rPr>
          <w:rFonts w:asciiTheme="minorHAnsi" w:hAnsiTheme="minorHAnsi"/>
          <w:sz w:val="22"/>
        </w:rPr>
        <w:t xml:space="preserve">SMAC </w:t>
      </w:r>
      <w:r w:rsidR="00CD7267" w:rsidRPr="00D548BF">
        <w:rPr>
          <w:rFonts w:asciiTheme="minorHAnsi" w:hAnsiTheme="minorHAnsi"/>
          <w:sz w:val="22"/>
        </w:rPr>
        <w:t>has adopted</w:t>
      </w:r>
      <w:r w:rsidRPr="00D548BF">
        <w:rPr>
          <w:rFonts w:asciiTheme="minorHAnsi" w:hAnsiTheme="minorHAnsi"/>
          <w:sz w:val="22"/>
        </w:rPr>
        <w:t xml:space="preserve"> the </w:t>
      </w:r>
      <w:r w:rsidR="00CD7267" w:rsidRPr="00D548BF">
        <w:rPr>
          <w:rFonts w:asciiTheme="minorHAnsi" w:hAnsiTheme="minorHAnsi"/>
          <w:sz w:val="22"/>
        </w:rPr>
        <w:t xml:space="preserve">following </w:t>
      </w:r>
      <w:r w:rsidRPr="00D548BF">
        <w:rPr>
          <w:rFonts w:asciiTheme="minorHAnsi" w:hAnsiTheme="minorHAnsi"/>
          <w:sz w:val="22"/>
        </w:rPr>
        <w:t>conditions under which reallocation will occur in The 2015 NOFA process</w:t>
      </w:r>
      <w:r w:rsidR="00CD7267" w:rsidRPr="00D548BF">
        <w:rPr>
          <w:rFonts w:asciiTheme="minorHAnsi" w:hAnsiTheme="minorHAnsi"/>
          <w:sz w:val="22"/>
        </w:rPr>
        <w:t>.  These</w:t>
      </w:r>
      <w:r w:rsidRPr="00D548BF">
        <w:rPr>
          <w:rFonts w:asciiTheme="minorHAnsi" w:hAnsiTheme="minorHAnsi"/>
          <w:sz w:val="22"/>
        </w:rPr>
        <w:t xml:space="preserve"> </w:t>
      </w:r>
      <w:r w:rsidR="00CD7267" w:rsidRPr="00D548BF">
        <w:rPr>
          <w:rFonts w:asciiTheme="minorHAnsi" w:hAnsiTheme="minorHAnsi"/>
          <w:sz w:val="22"/>
        </w:rPr>
        <w:t>conditions are designed to</w:t>
      </w:r>
      <w:r w:rsidRPr="00D548BF">
        <w:rPr>
          <w:rFonts w:asciiTheme="minorHAnsi" w:hAnsiTheme="minorHAnsi"/>
          <w:sz w:val="22"/>
        </w:rPr>
        <w:t xml:space="preserve"> inform Ranking Committee deliberations and provide all applicants and renewing projects with clarity regarding how an</w:t>
      </w:r>
      <w:r w:rsidR="007F08C6" w:rsidRPr="00D548BF">
        <w:rPr>
          <w:rFonts w:asciiTheme="minorHAnsi" w:hAnsiTheme="minorHAnsi"/>
          <w:sz w:val="22"/>
        </w:rPr>
        <w:t xml:space="preserve">d why reallocation may occur.  </w:t>
      </w:r>
    </w:p>
    <w:p w:rsidR="0042588B" w:rsidRPr="00D548BF" w:rsidRDefault="0042588B" w:rsidP="00A41601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42588B" w:rsidRPr="00D548BF" w:rsidRDefault="0042588B" w:rsidP="00A41601">
      <w:pPr>
        <w:autoSpaceDE w:val="0"/>
        <w:autoSpaceDN w:val="0"/>
        <w:adjustRightInd w:val="0"/>
        <w:rPr>
          <w:rFonts w:asciiTheme="minorHAnsi" w:hAnsiTheme="minorHAnsi"/>
          <w:b/>
          <w:sz w:val="22"/>
          <w:u w:val="single"/>
        </w:rPr>
      </w:pPr>
      <w:r w:rsidRPr="00D548BF">
        <w:rPr>
          <w:rFonts w:asciiTheme="minorHAnsi" w:hAnsiTheme="minorHAnsi"/>
          <w:b/>
          <w:sz w:val="22"/>
          <w:u w:val="single"/>
        </w:rPr>
        <w:t>Prioritization of New Projects</w:t>
      </w:r>
    </w:p>
    <w:p w:rsidR="00CD7267" w:rsidRPr="00D548BF" w:rsidRDefault="0042588B" w:rsidP="00A41601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D548BF">
        <w:rPr>
          <w:rFonts w:asciiTheme="minorHAnsi" w:hAnsiTheme="minorHAnsi"/>
          <w:sz w:val="22"/>
        </w:rPr>
        <w:t>There are four different types of projects that can be funded as new projects in the 2015 NOFA.  The SMAC Governing Board define</w:t>
      </w:r>
      <w:r w:rsidR="00C41FFC" w:rsidRPr="00D548BF">
        <w:rPr>
          <w:rFonts w:asciiTheme="minorHAnsi" w:hAnsiTheme="minorHAnsi"/>
          <w:sz w:val="22"/>
        </w:rPr>
        <w:t>d</w:t>
      </w:r>
      <w:r w:rsidRPr="00D548BF">
        <w:rPr>
          <w:rFonts w:asciiTheme="minorHAnsi" w:hAnsiTheme="minorHAnsi"/>
          <w:sz w:val="22"/>
        </w:rPr>
        <w:t xml:space="preserve"> how</w:t>
      </w:r>
      <w:r w:rsidR="00C41FFC" w:rsidRPr="00D548BF">
        <w:rPr>
          <w:rFonts w:asciiTheme="minorHAnsi" w:hAnsiTheme="minorHAnsi"/>
          <w:sz w:val="22"/>
        </w:rPr>
        <w:t xml:space="preserve"> these potential projects will</w:t>
      </w:r>
      <w:r w:rsidRPr="00D548BF">
        <w:rPr>
          <w:rFonts w:asciiTheme="minorHAnsi" w:hAnsiTheme="minorHAnsi"/>
          <w:sz w:val="22"/>
        </w:rPr>
        <w:t xml:space="preserve"> be prioritized</w:t>
      </w:r>
      <w:r w:rsidR="000B22FA" w:rsidRPr="00D548BF">
        <w:rPr>
          <w:rFonts w:asciiTheme="minorHAnsi" w:hAnsiTheme="minorHAnsi"/>
          <w:sz w:val="22"/>
        </w:rPr>
        <w:t xml:space="preserve"> in </w:t>
      </w:r>
      <w:r w:rsidR="00CD7267" w:rsidRPr="00D548BF">
        <w:rPr>
          <w:rFonts w:asciiTheme="minorHAnsi" w:hAnsiTheme="minorHAnsi"/>
          <w:sz w:val="22"/>
        </w:rPr>
        <w:t>our July 17</w:t>
      </w:r>
      <w:r w:rsidR="00CD7267" w:rsidRPr="00D548BF">
        <w:rPr>
          <w:rFonts w:asciiTheme="minorHAnsi" w:hAnsiTheme="minorHAnsi"/>
          <w:sz w:val="22"/>
          <w:vertAlign w:val="superscript"/>
        </w:rPr>
        <w:t>th</w:t>
      </w:r>
      <w:r w:rsidR="00CD7267" w:rsidRPr="00D548BF">
        <w:rPr>
          <w:rFonts w:asciiTheme="minorHAnsi" w:hAnsiTheme="minorHAnsi"/>
          <w:sz w:val="22"/>
        </w:rPr>
        <w:t>,</w:t>
      </w:r>
      <w:r w:rsidR="000B22FA" w:rsidRPr="00D548BF">
        <w:rPr>
          <w:rFonts w:asciiTheme="minorHAnsi" w:hAnsiTheme="minorHAnsi"/>
          <w:sz w:val="22"/>
        </w:rPr>
        <w:t xml:space="preserve"> 2015</w:t>
      </w:r>
      <w:r w:rsidRPr="00D548BF">
        <w:rPr>
          <w:rFonts w:asciiTheme="minorHAnsi" w:hAnsiTheme="minorHAnsi"/>
          <w:sz w:val="22"/>
        </w:rPr>
        <w:t xml:space="preserve">.  </w:t>
      </w:r>
    </w:p>
    <w:p w:rsidR="0042588B" w:rsidRDefault="0042588B" w:rsidP="00A41601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42588B" w:rsidRPr="00B30250" w:rsidTr="00D25A82">
        <w:tc>
          <w:tcPr>
            <w:tcW w:w="3538" w:type="dxa"/>
            <w:shd w:val="clear" w:color="auto" w:fill="B8CCE4" w:themeFill="accent1" w:themeFillTint="66"/>
            <w:vAlign w:val="center"/>
          </w:tcPr>
          <w:p w:rsidR="0042588B" w:rsidRPr="00B30250" w:rsidRDefault="0042588B" w:rsidP="00A41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30250">
              <w:rPr>
                <w:rFonts w:asciiTheme="minorHAnsi" w:hAnsiTheme="minorHAnsi"/>
                <w:b/>
                <w:sz w:val="22"/>
                <w:szCs w:val="22"/>
              </w:rPr>
              <w:t>Project Type</w:t>
            </w:r>
          </w:p>
        </w:tc>
        <w:tc>
          <w:tcPr>
            <w:tcW w:w="3538" w:type="dxa"/>
            <w:shd w:val="clear" w:color="auto" w:fill="B8CCE4" w:themeFill="accent1" w:themeFillTint="66"/>
            <w:vAlign w:val="center"/>
          </w:tcPr>
          <w:p w:rsidR="0042588B" w:rsidRPr="00B30250" w:rsidRDefault="0042588B" w:rsidP="00C41F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30250">
              <w:rPr>
                <w:rFonts w:asciiTheme="minorHAnsi" w:hAnsiTheme="minorHAnsi"/>
                <w:b/>
                <w:sz w:val="22"/>
                <w:szCs w:val="22"/>
              </w:rPr>
              <w:t>Priority Level</w:t>
            </w:r>
            <w:r w:rsidR="00D25A82" w:rsidRPr="00B3025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39" w:type="dxa"/>
            <w:shd w:val="clear" w:color="auto" w:fill="B8CCE4" w:themeFill="accent1" w:themeFillTint="66"/>
            <w:vAlign w:val="center"/>
          </w:tcPr>
          <w:p w:rsidR="0042588B" w:rsidRPr="00B30250" w:rsidRDefault="0042588B" w:rsidP="00A41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30250">
              <w:rPr>
                <w:rFonts w:asciiTheme="minorHAnsi" w:hAnsiTheme="minorHAnsi"/>
                <w:b/>
                <w:sz w:val="22"/>
                <w:szCs w:val="22"/>
              </w:rPr>
              <w:t>Justification for Priority Level</w:t>
            </w:r>
          </w:p>
        </w:tc>
      </w:tr>
      <w:tr w:rsidR="00D25A82" w:rsidRPr="00B30250" w:rsidTr="00D25A82">
        <w:tc>
          <w:tcPr>
            <w:tcW w:w="3538" w:type="dxa"/>
          </w:tcPr>
          <w:p w:rsidR="00D25A82" w:rsidRDefault="00D25A82" w:rsidP="00A416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30250">
              <w:rPr>
                <w:rFonts w:asciiTheme="minorHAnsi" w:hAnsiTheme="minorHAnsi"/>
                <w:sz w:val="22"/>
                <w:szCs w:val="22"/>
              </w:rPr>
              <w:t xml:space="preserve">New Supportive Services Only (SSO) projects for centralized or </w:t>
            </w:r>
            <w:r w:rsidRPr="00B3025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coordinated entry</w:t>
            </w:r>
            <w:r w:rsidRPr="00B3025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B30250">
              <w:rPr>
                <w:rFonts w:asciiTheme="minorHAnsi" w:hAnsiTheme="minorHAnsi"/>
                <w:sz w:val="22"/>
                <w:szCs w:val="22"/>
              </w:rPr>
              <w:t xml:space="preserve">systems. </w:t>
            </w:r>
          </w:p>
          <w:p w:rsidR="00C41FFC" w:rsidRDefault="00C41FFC" w:rsidP="00A416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C41FFC" w:rsidRPr="00B30250" w:rsidRDefault="00C41FFC" w:rsidP="00A416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8" w:type="dxa"/>
          </w:tcPr>
          <w:p w:rsidR="00D25A82" w:rsidRDefault="00C41FFC" w:rsidP="007620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D25A82" w:rsidRPr="00B30250">
              <w:rPr>
                <w:rFonts w:asciiTheme="minorHAnsi" w:hAnsiTheme="minorHAnsi"/>
                <w:sz w:val="22"/>
                <w:szCs w:val="22"/>
              </w:rPr>
              <w:t xml:space="preserve">his project type </w:t>
            </w:r>
            <w:r w:rsidR="00CD7267">
              <w:rPr>
                <w:rFonts w:asciiTheme="minorHAnsi" w:hAnsiTheme="minorHAnsi"/>
                <w:sz w:val="22"/>
                <w:szCs w:val="22"/>
              </w:rPr>
              <w:t>is</w:t>
            </w:r>
            <w:r w:rsidR="00CD7267" w:rsidRPr="00B30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5A82" w:rsidRPr="00B30250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highest priority</w:t>
            </w:r>
            <w:r w:rsidR="00D25A82" w:rsidRPr="00B30250">
              <w:rPr>
                <w:rFonts w:asciiTheme="minorHAnsi" w:hAnsiTheme="minorHAnsi"/>
                <w:sz w:val="22"/>
                <w:szCs w:val="22"/>
              </w:rPr>
              <w:t>.  So long as a CE project(s) is viable, it would automatically rank above all other project models.</w:t>
            </w:r>
          </w:p>
          <w:p w:rsidR="00CD7267" w:rsidRDefault="00CD72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CD7267" w:rsidRPr="00B30250" w:rsidRDefault="00CD72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Youth specific CE highest priority.</w:t>
            </w:r>
          </w:p>
        </w:tc>
        <w:tc>
          <w:tcPr>
            <w:tcW w:w="3539" w:type="dxa"/>
          </w:tcPr>
          <w:p w:rsidR="00D25A82" w:rsidRPr="00B30250" w:rsidRDefault="00D25A82" w:rsidP="00A4160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30250">
              <w:rPr>
                <w:rFonts w:asciiTheme="minorHAnsi" w:hAnsiTheme="minorHAnsi"/>
              </w:rPr>
              <w:t>CE, to this point, has been an unfunded mandate.  This may be a one-time shot to get CE services funded on a renewing basis.</w:t>
            </w:r>
          </w:p>
          <w:p w:rsidR="00D25A82" w:rsidRPr="00B30250" w:rsidRDefault="00D25A82" w:rsidP="00A4160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30250">
              <w:rPr>
                <w:rFonts w:asciiTheme="minorHAnsi" w:hAnsiTheme="minorHAnsi"/>
              </w:rPr>
              <w:t>CE performance is a vital component to remaining competitive for future HUD funding.</w:t>
            </w:r>
          </w:p>
        </w:tc>
      </w:tr>
      <w:tr w:rsidR="00D25A82" w:rsidRPr="00B30250" w:rsidTr="00D25A82">
        <w:tc>
          <w:tcPr>
            <w:tcW w:w="3538" w:type="dxa"/>
          </w:tcPr>
          <w:p w:rsidR="00D25A82" w:rsidRPr="00B30250" w:rsidRDefault="00D25A82" w:rsidP="00A416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30250">
              <w:rPr>
                <w:rFonts w:asciiTheme="minorHAnsi" w:hAnsiTheme="minorHAnsi"/>
                <w:sz w:val="22"/>
                <w:szCs w:val="22"/>
              </w:rPr>
              <w:t xml:space="preserve">New </w:t>
            </w:r>
            <w:r w:rsidRPr="00B3025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rapid re-housing</w:t>
            </w:r>
            <w:r w:rsidRPr="00B3025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B30250">
              <w:rPr>
                <w:rFonts w:asciiTheme="minorHAnsi" w:hAnsiTheme="minorHAnsi"/>
                <w:sz w:val="22"/>
                <w:szCs w:val="22"/>
              </w:rPr>
              <w:t>projects for homeless individuals, unaccompanied youth, and families coming directly from the streets or emergency shelter or fleeing domestic violence.</w:t>
            </w:r>
          </w:p>
        </w:tc>
        <w:tc>
          <w:tcPr>
            <w:tcW w:w="3538" w:type="dxa"/>
          </w:tcPr>
          <w:p w:rsidR="00D25A82" w:rsidRPr="00B30250" w:rsidRDefault="00C41FFC" w:rsidP="00A416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D25A82" w:rsidRPr="00B30250">
              <w:rPr>
                <w:rFonts w:asciiTheme="minorHAnsi" w:hAnsiTheme="minorHAnsi"/>
                <w:sz w:val="22"/>
                <w:szCs w:val="22"/>
              </w:rPr>
              <w:t xml:space="preserve">his project type be </w:t>
            </w:r>
            <w:r w:rsidR="00D25A82" w:rsidRPr="00B30250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2</w:t>
            </w:r>
            <w:r w:rsidR="00D25A82" w:rsidRPr="00B30250">
              <w:rPr>
                <w:rFonts w:asciiTheme="minorHAnsi" w:hAnsiTheme="minorHAnsi"/>
                <w:i/>
                <w:sz w:val="22"/>
                <w:szCs w:val="22"/>
                <w:u w:val="single"/>
                <w:vertAlign w:val="superscript"/>
              </w:rPr>
              <w:t>nd</w:t>
            </w:r>
            <w:r w:rsidR="00D25A82" w:rsidRPr="00B30250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highest priority</w:t>
            </w:r>
            <w:r w:rsidR="00D25A82" w:rsidRPr="00B30250">
              <w:rPr>
                <w:rFonts w:asciiTheme="minorHAnsi" w:hAnsiTheme="minorHAnsi"/>
                <w:sz w:val="22"/>
                <w:szCs w:val="22"/>
              </w:rPr>
              <w:t>, funded only if no CE projects are viable or if funding remains available after funding CE projects.</w:t>
            </w:r>
          </w:p>
        </w:tc>
        <w:tc>
          <w:tcPr>
            <w:tcW w:w="3539" w:type="dxa"/>
          </w:tcPr>
          <w:p w:rsidR="00B30250" w:rsidRPr="00B30250" w:rsidRDefault="00D25A82" w:rsidP="00A4160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30250">
              <w:rPr>
                <w:rFonts w:asciiTheme="minorHAnsi" w:hAnsiTheme="minorHAnsi"/>
              </w:rPr>
              <w:t>Rapid rehousing has a higher unmet need than PSH based upon initial CE data.</w:t>
            </w:r>
          </w:p>
        </w:tc>
      </w:tr>
      <w:tr w:rsidR="00D25A82" w:rsidRPr="00B30250" w:rsidTr="00D25A82">
        <w:tc>
          <w:tcPr>
            <w:tcW w:w="3538" w:type="dxa"/>
          </w:tcPr>
          <w:p w:rsidR="00D25A82" w:rsidRPr="00B30250" w:rsidRDefault="00D25A82" w:rsidP="00A416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30250">
              <w:rPr>
                <w:rFonts w:asciiTheme="minorHAnsi" w:hAnsiTheme="minorHAnsi"/>
                <w:sz w:val="22"/>
                <w:szCs w:val="22"/>
              </w:rPr>
              <w:t xml:space="preserve">New </w:t>
            </w:r>
            <w:r w:rsidRPr="00B3025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permanent supportive housing</w:t>
            </w:r>
            <w:r w:rsidRPr="00B30250">
              <w:rPr>
                <w:rFonts w:asciiTheme="minorHAnsi" w:hAnsiTheme="minorHAnsi"/>
                <w:sz w:val="22"/>
                <w:szCs w:val="22"/>
              </w:rPr>
              <w:t xml:space="preserve"> projects that serve chronically homeless individuals, unaccompanied youth, and families.</w:t>
            </w:r>
          </w:p>
        </w:tc>
        <w:tc>
          <w:tcPr>
            <w:tcW w:w="3538" w:type="dxa"/>
          </w:tcPr>
          <w:p w:rsidR="00D25A82" w:rsidRPr="00B30250" w:rsidRDefault="00C41FFC" w:rsidP="00A416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D25A82" w:rsidRPr="00B30250">
              <w:rPr>
                <w:rFonts w:asciiTheme="minorHAnsi" w:hAnsiTheme="minorHAnsi"/>
                <w:sz w:val="22"/>
                <w:szCs w:val="22"/>
              </w:rPr>
              <w:t xml:space="preserve">his project type be </w:t>
            </w:r>
            <w:r w:rsidR="00D25A82" w:rsidRPr="00B30250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3</w:t>
            </w:r>
            <w:r w:rsidR="00D25A82" w:rsidRPr="00B30250">
              <w:rPr>
                <w:rFonts w:asciiTheme="minorHAnsi" w:hAnsiTheme="minorHAnsi"/>
                <w:i/>
                <w:sz w:val="22"/>
                <w:szCs w:val="22"/>
                <w:u w:val="single"/>
                <w:vertAlign w:val="superscript"/>
              </w:rPr>
              <w:t>rd</w:t>
            </w:r>
            <w:r w:rsidR="00D25A82" w:rsidRPr="00B30250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highest priority</w:t>
            </w:r>
            <w:r w:rsidR="00D25A82" w:rsidRPr="00B30250">
              <w:rPr>
                <w:rFonts w:asciiTheme="minorHAnsi" w:hAnsiTheme="minorHAnsi"/>
                <w:sz w:val="22"/>
                <w:szCs w:val="22"/>
              </w:rPr>
              <w:t>, funded only if funding remains available after Coordinated entry and rapid rehousing projects have been considered</w:t>
            </w:r>
            <w:r w:rsidR="00B30250" w:rsidRPr="00B3025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39" w:type="dxa"/>
          </w:tcPr>
          <w:p w:rsidR="00B30250" w:rsidRPr="00B30250" w:rsidRDefault="00B30250" w:rsidP="00A4160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30250">
              <w:rPr>
                <w:rFonts w:asciiTheme="minorHAnsi" w:hAnsiTheme="minorHAnsi"/>
              </w:rPr>
              <w:t>Continued HUD priority</w:t>
            </w:r>
          </w:p>
          <w:p w:rsidR="00B30250" w:rsidRPr="00B30250" w:rsidRDefault="00B30250" w:rsidP="00A4160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30250">
              <w:rPr>
                <w:rFonts w:asciiTheme="minorHAnsi" w:hAnsiTheme="minorHAnsi"/>
              </w:rPr>
              <w:t>Hardest to serve population</w:t>
            </w:r>
          </w:p>
          <w:p w:rsidR="00B30250" w:rsidRPr="00B30250" w:rsidRDefault="00B30250" w:rsidP="00A4160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30250">
              <w:rPr>
                <w:rFonts w:asciiTheme="minorHAnsi" w:hAnsiTheme="minorHAnsi"/>
              </w:rPr>
              <w:t>We sometimes struggle filling the PSH chronic beds already</w:t>
            </w:r>
            <w:r w:rsidR="00633919">
              <w:rPr>
                <w:rFonts w:asciiTheme="minorHAnsi" w:hAnsiTheme="minorHAnsi"/>
              </w:rPr>
              <w:t>, thus lower local priority</w:t>
            </w:r>
          </w:p>
        </w:tc>
      </w:tr>
    </w:tbl>
    <w:p w:rsidR="0042588B" w:rsidRPr="00D548BF" w:rsidRDefault="0042588B" w:rsidP="00A41601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A41601" w:rsidRPr="00D548BF" w:rsidRDefault="00A41601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79435F" w:rsidRDefault="000B22FA" w:rsidP="00D548BF">
      <w:pPr>
        <w:autoSpaceDE w:val="0"/>
        <w:autoSpaceDN w:val="0"/>
        <w:adjustRightInd w:val="0"/>
      </w:pPr>
      <w:r w:rsidRPr="000B22FA">
        <w:rPr>
          <w:rFonts w:asciiTheme="minorHAnsi" w:hAnsiTheme="minorHAnsi"/>
          <w:b/>
          <w:i/>
          <w:u w:val="single"/>
        </w:rPr>
        <w:t>Reallocation Process:</w:t>
      </w:r>
    </w:p>
    <w:p w:rsidR="00D648B1" w:rsidRPr="00D548BF" w:rsidRDefault="000B22FA" w:rsidP="00D548BF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0B22FA">
        <w:rPr>
          <w:rFonts w:asciiTheme="minorHAnsi" w:hAnsiTheme="minorHAnsi"/>
        </w:rPr>
        <w:t xml:space="preserve">Voluntary reallocation will always be fully explored first from all renewal projects.  </w:t>
      </w:r>
    </w:p>
    <w:p w:rsidR="000B22FA" w:rsidRDefault="000B22FA" w:rsidP="00D548BF">
      <w:pPr>
        <w:pStyle w:val="ListParagraph"/>
        <w:numPr>
          <w:ilvl w:val="0"/>
          <w:numId w:val="24"/>
        </w:numPr>
        <w:spacing w:after="0" w:line="240" w:lineRule="auto"/>
      </w:pPr>
      <w:r>
        <w:t>If the minimum amount ($100,000) is not reached through voluntary reallocation there will be SMAC-imposed reductions to projects using the following criteria:</w:t>
      </w:r>
    </w:p>
    <w:p w:rsidR="0079435F" w:rsidRDefault="000B22FA" w:rsidP="00D548BF">
      <w:pPr>
        <w:pStyle w:val="ListParagraph"/>
        <w:numPr>
          <w:ilvl w:val="1"/>
          <w:numId w:val="24"/>
        </w:numPr>
        <w:spacing w:after="0" w:line="240" w:lineRule="auto"/>
      </w:pPr>
      <w:r>
        <w:t>Projects that moved from leasing to RA</w:t>
      </w:r>
      <w:r w:rsidR="00CD7267">
        <w:t xml:space="preserve"> as most have received significant increases due to FMR</w:t>
      </w:r>
      <w:r>
        <w:t xml:space="preserve">.  </w:t>
      </w:r>
    </w:p>
    <w:p w:rsidR="00CD7267" w:rsidRDefault="00CD7267" w:rsidP="00D548BF">
      <w:pPr>
        <w:pStyle w:val="ListParagraph"/>
        <w:numPr>
          <w:ilvl w:val="1"/>
          <w:numId w:val="24"/>
        </w:numPr>
        <w:spacing w:after="0" w:line="240" w:lineRule="auto"/>
      </w:pPr>
      <w:r>
        <w:t xml:space="preserve">Projects with </w:t>
      </w:r>
      <w:r w:rsidR="007620D5">
        <w:t>underperformance in m</w:t>
      </w:r>
      <w:r>
        <w:t>anagement of resources</w:t>
      </w:r>
    </w:p>
    <w:p w:rsidR="00CD7267" w:rsidRPr="007620D5" w:rsidRDefault="00CD7267" w:rsidP="00D548BF">
      <w:pPr>
        <w:pStyle w:val="ListParagraph"/>
        <w:numPr>
          <w:ilvl w:val="2"/>
          <w:numId w:val="24"/>
        </w:numPr>
        <w:spacing w:after="0" w:line="240" w:lineRule="auto"/>
      </w:pPr>
      <w:r w:rsidRPr="007620D5">
        <w:t>Monthly LOCCS drawdowns</w:t>
      </w:r>
    </w:p>
    <w:p w:rsidR="00CD7267" w:rsidRPr="007620D5" w:rsidRDefault="00CD7267" w:rsidP="00D548BF">
      <w:pPr>
        <w:pStyle w:val="ListParagraph"/>
        <w:numPr>
          <w:ilvl w:val="2"/>
          <w:numId w:val="24"/>
        </w:numPr>
        <w:spacing w:after="0" w:line="240" w:lineRule="auto"/>
      </w:pPr>
      <w:r w:rsidRPr="007620D5">
        <w:t>History of fully-spent grants</w:t>
      </w:r>
    </w:p>
    <w:p w:rsidR="00CD7267" w:rsidRPr="007620D5" w:rsidRDefault="00CD7267" w:rsidP="00D548BF">
      <w:pPr>
        <w:pStyle w:val="ListParagraph"/>
        <w:numPr>
          <w:ilvl w:val="2"/>
          <w:numId w:val="24"/>
        </w:numPr>
        <w:spacing w:after="0" w:line="240" w:lineRule="auto"/>
      </w:pPr>
      <w:r w:rsidRPr="007620D5">
        <w:t>Professional accounting practices</w:t>
      </w:r>
    </w:p>
    <w:p w:rsidR="007620D5" w:rsidRDefault="00D648B1" w:rsidP="00D548BF">
      <w:pPr>
        <w:pStyle w:val="ListParagraph"/>
        <w:numPr>
          <w:ilvl w:val="1"/>
          <w:numId w:val="24"/>
        </w:numPr>
        <w:spacing w:after="0" w:line="240" w:lineRule="auto"/>
      </w:pPr>
      <w:r w:rsidRPr="007620D5">
        <w:t xml:space="preserve">Overall project performance: </w:t>
      </w:r>
    </w:p>
    <w:p w:rsidR="007620D5" w:rsidRDefault="007620D5" w:rsidP="00D548BF">
      <w:pPr>
        <w:pStyle w:val="ListParagraph"/>
        <w:numPr>
          <w:ilvl w:val="2"/>
          <w:numId w:val="24"/>
        </w:numPr>
        <w:spacing w:after="0" w:line="240" w:lineRule="auto"/>
      </w:pPr>
      <w:r>
        <w:t>Exits to permanent housing</w:t>
      </w:r>
    </w:p>
    <w:p w:rsidR="007620D5" w:rsidRDefault="007620D5" w:rsidP="00D548BF">
      <w:pPr>
        <w:pStyle w:val="ListParagraph"/>
        <w:numPr>
          <w:ilvl w:val="2"/>
          <w:numId w:val="24"/>
        </w:numPr>
        <w:spacing w:after="0" w:line="240" w:lineRule="auto"/>
      </w:pPr>
      <w:r>
        <w:t>Increased income for program participants</w:t>
      </w:r>
    </w:p>
    <w:p w:rsidR="007620D5" w:rsidRDefault="007620D5" w:rsidP="00D548BF"/>
    <w:p w:rsidR="00E12470" w:rsidRPr="006C23DF" w:rsidRDefault="00E12470" w:rsidP="00D548BF">
      <w:pPr>
        <w:rPr>
          <w:rFonts w:asciiTheme="minorHAnsi" w:hAnsiTheme="minorHAnsi"/>
          <w:b/>
        </w:rPr>
      </w:pPr>
    </w:p>
    <w:sectPr w:rsidR="00E12470" w:rsidRPr="006C23DF" w:rsidSect="00A7250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89" w:rsidRDefault="00097B89" w:rsidP="004F2E65">
      <w:r>
        <w:separator/>
      </w:r>
    </w:p>
  </w:endnote>
  <w:endnote w:type="continuationSeparator" w:id="0">
    <w:p w:rsidR="00097B89" w:rsidRDefault="00097B89" w:rsidP="004F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057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1B8" w:rsidRDefault="00BB71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0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1B8" w:rsidRDefault="00BB7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89" w:rsidRDefault="00097B89" w:rsidP="004F2E65">
      <w:r>
        <w:separator/>
      </w:r>
    </w:p>
  </w:footnote>
  <w:footnote w:type="continuationSeparator" w:id="0">
    <w:p w:rsidR="00097B89" w:rsidRDefault="00097B89" w:rsidP="004F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19" w:rsidRDefault="00633919" w:rsidP="00633919">
    <w:pPr>
      <w:pStyle w:val="Header"/>
      <w:jc w:val="right"/>
    </w:pPr>
    <w:r>
      <w:t xml:space="preserve">Suburban Metro Area Continuum of Care     |     </w:t>
    </w:r>
    <w:r w:rsidRPr="00633919">
      <w:rPr>
        <w:b/>
        <w:color w:val="0F243E" w:themeColor="text2" w:themeShade="80"/>
      </w:rPr>
      <w:t>2015</w:t>
    </w:r>
  </w:p>
  <w:p w:rsidR="00633919" w:rsidRDefault="00633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001"/>
    <w:multiLevelType w:val="hybridMultilevel"/>
    <w:tmpl w:val="E236C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266D9"/>
    <w:multiLevelType w:val="hybridMultilevel"/>
    <w:tmpl w:val="CACA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489C"/>
    <w:multiLevelType w:val="hybridMultilevel"/>
    <w:tmpl w:val="7AEA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EA3"/>
    <w:multiLevelType w:val="hybridMultilevel"/>
    <w:tmpl w:val="58D2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5894"/>
    <w:multiLevelType w:val="hybridMultilevel"/>
    <w:tmpl w:val="DCD44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46EE2"/>
    <w:multiLevelType w:val="hybridMultilevel"/>
    <w:tmpl w:val="B5425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6E8F"/>
    <w:multiLevelType w:val="hybridMultilevel"/>
    <w:tmpl w:val="1090B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3C00AE"/>
    <w:multiLevelType w:val="hybridMultilevel"/>
    <w:tmpl w:val="06761D2A"/>
    <w:lvl w:ilvl="0" w:tplc="3B7ED06A">
      <w:start w:val="1"/>
      <w:numFmt w:val="lowerRoman"/>
      <w:lvlText w:val="%1."/>
      <w:lvlJc w:val="right"/>
      <w:pPr>
        <w:ind w:left="234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791596"/>
    <w:multiLevelType w:val="hybridMultilevel"/>
    <w:tmpl w:val="4D4E2ECA"/>
    <w:lvl w:ilvl="0" w:tplc="70606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42C4B"/>
    <w:multiLevelType w:val="hybridMultilevel"/>
    <w:tmpl w:val="F8081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072FC"/>
    <w:multiLevelType w:val="hybridMultilevel"/>
    <w:tmpl w:val="E36E87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3E50CD"/>
    <w:multiLevelType w:val="hybridMultilevel"/>
    <w:tmpl w:val="3CDA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E6A76"/>
    <w:multiLevelType w:val="hybridMultilevel"/>
    <w:tmpl w:val="0BDC32A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657317F"/>
    <w:multiLevelType w:val="hybridMultilevel"/>
    <w:tmpl w:val="DA78A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7C09A4"/>
    <w:multiLevelType w:val="hybridMultilevel"/>
    <w:tmpl w:val="F01609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CD2D84"/>
    <w:multiLevelType w:val="hybridMultilevel"/>
    <w:tmpl w:val="D9C88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F66A1"/>
    <w:multiLevelType w:val="hybridMultilevel"/>
    <w:tmpl w:val="0A001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0B0C65"/>
    <w:multiLevelType w:val="hybridMultilevel"/>
    <w:tmpl w:val="4F9C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AD2811"/>
    <w:multiLevelType w:val="hybridMultilevel"/>
    <w:tmpl w:val="26D89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205490"/>
    <w:multiLevelType w:val="hybridMultilevel"/>
    <w:tmpl w:val="A2B4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E262F"/>
    <w:multiLevelType w:val="hybridMultilevel"/>
    <w:tmpl w:val="3E90A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5430F"/>
    <w:multiLevelType w:val="hybridMultilevel"/>
    <w:tmpl w:val="60446E92"/>
    <w:lvl w:ilvl="0" w:tplc="A6F222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21CFF"/>
    <w:multiLevelType w:val="hybridMultilevel"/>
    <w:tmpl w:val="0DB06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033B5"/>
    <w:multiLevelType w:val="hybridMultilevel"/>
    <w:tmpl w:val="CF2A0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3"/>
  </w:num>
  <w:num w:numId="5">
    <w:abstractNumId w:val="1"/>
  </w:num>
  <w:num w:numId="6">
    <w:abstractNumId w:val="0"/>
  </w:num>
  <w:num w:numId="7">
    <w:abstractNumId w:val="23"/>
  </w:num>
  <w:num w:numId="8">
    <w:abstractNumId w:val="15"/>
  </w:num>
  <w:num w:numId="9">
    <w:abstractNumId w:val="3"/>
  </w:num>
  <w:num w:numId="10">
    <w:abstractNumId w:val="17"/>
  </w:num>
  <w:num w:numId="11">
    <w:abstractNumId w:val="12"/>
  </w:num>
  <w:num w:numId="12">
    <w:abstractNumId w:val="16"/>
  </w:num>
  <w:num w:numId="13">
    <w:abstractNumId w:val="4"/>
  </w:num>
  <w:num w:numId="14">
    <w:abstractNumId w:val="21"/>
  </w:num>
  <w:num w:numId="15">
    <w:abstractNumId w:val="20"/>
  </w:num>
  <w:num w:numId="16">
    <w:abstractNumId w:val="8"/>
  </w:num>
  <w:num w:numId="17">
    <w:abstractNumId w:val="22"/>
  </w:num>
  <w:num w:numId="18">
    <w:abstractNumId w:val="2"/>
  </w:num>
  <w:num w:numId="19">
    <w:abstractNumId w:val="11"/>
  </w:num>
  <w:num w:numId="20">
    <w:abstractNumId w:val="9"/>
  </w:num>
  <w:num w:numId="21">
    <w:abstractNumId w:val="18"/>
  </w:num>
  <w:num w:numId="22">
    <w:abstractNumId w:val="7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EARTHPATH" w:val="P:\Regions\Metro project\RSMAC\RSMAC.LetterofInterest.2012.v2.docx - 05-22-2012"/>
  </w:docVars>
  <w:rsids>
    <w:rsidRoot w:val="00696F23"/>
    <w:rsid w:val="00004B50"/>
    <w:rsid w:val="00010B59"/>
    <w:rsid w:val="000258A6"/>
    <w:rsid w:val="00031A8D"/>
    <w:rsid w:val="00040C58"/>
    <w:rsid w:val="00044D49"/>
    <w:rsid w:val="00064F30"/>
    <w:rsid w:val="00075A9D"/>
    <w:rsid w:val="000771F1"/>
    <w:rsid w:val="00077DC4"/>
    <w:rsid w:val="00097B89"/>
    <w:rsid w:val="000A2563"/>
    <w:rsid w:val="000B22FA"/>
    <w:rsid w:val="000B24ED"/>
    <w:rsid w:val="000D0983"/>
    <w:rsid w:val="000D26A0"/>
    <w:rsid w:val="000E67B6"/>
    <w:rsid w:val="00102FED"/>
    <w:rsid w:val="00112C6E"/>
    <w:rsid w:val="0013316E"/>
    <w:rsid w:val="00136AC7"/>
    <w:rsid w:val="00137122"/>
    <w:rsid w:val="0014463E"/>
    <w:rsid w:val="00151DE6"/>
    <w:rsid w:val="00167851"/>
    <w:rsid w:val="001951BB"/>
    <w:rsid w:val="001A22A1"/>
    <w:rsid w:val="001A5CAE"/>
    <w:rsid w:val="001C35D9"/>
    <w:rsid w:val="001C6CBE"/>
    <w:rsid w:val="001D19A8"/>
    <w:rsid w:val="001D3902"/>
    <w:rsid w:val="001D3FB5"/>
    <w:rsid w:val="001E6267"/>
    <w:rsid w:val="001F1590"/>
    <w:rsid w:val="001F440F"/>
    <w:rsid w:val="001F58F0"/>
    <w:rsid w:val="002037D2"/>
    <w:rsid w:val="00203FFE"/>
    <w:rsid w:val="00226FDE"/>
    <w:rsid w:val="002309F7"/>
    <w:rsid w:val="00231412"/>
    <w:rsid w:val="00234B51"/>
    <w:rsid w:val="00253C45"/>
    <w:rsid w:val="002665A6"/>
    <w:rsid w:val="0027089B"/>
    <w:rsid w:val="00271C77"/>
    <w:rsid w:val="00271FC2"/>
    <w:rsid w:val="0029250E"/>
    <w:rsid w:val="002B4DE7"/>
    <w:rsid w:val="002D40A4"/>
    <w:rsid w:val="002D47A9"/>
    <w:rsid w:val="002D750F"/>
    <w:rsid w:val="0030303E"/>
    <w:rsid w:val="0032255D"/>
    <w:rsid w:val="00324208"/>
    <w:rsid w:val="00326FE7"/>
    <w:rsid w:val="00327D78"/>
    <w:rsid w:val="0037227B"/>
    <w:rsid w:val="00374D1A"/>
    <w:rsid w:val="00382B82"/>
    <w:rsid w:val="0038599A"/>
    <w:rsid w:val="003947F9"/>
    <w:rsid w:val="003A7815"/>
    <w:rsid w:val="003B43CC"/>
    <w:rsid w:val="003C15D0"/>
    <w:rsid w:val="003D1A14"/>
    <w:rsid w:val="003D1D73"/>
    <w:rsid w:val="003E5225"/>
    <w:rsid w:val="003E57F8"/>
    <w:rsid w:val="003F4AD3"/>
    <w:rsid w:val="004069BD"/>
    <w:rsid w:val="00411254"/>
    <w:rsid w:val="0042354C"/>
    <w:rsid w:val="0042588B"/>
    <w:rsid w:val="004333FA"/>
    <w:rsid w:val="004466BD"/>
    <w:rsid w:val="004520E8"/>
    <w:rsid w:val="00474C29"/>
    <w:rsid w:val="00476E63"/>
    <w:rsid w:val="0048287B"/>
    <w:rsid w:val="004912F4"/>
    <w:rsid w:val="004944B0"/>
    <w:rsid w:val="004A2684"/>
    <w:rsid w:val="004A61BA"/>
    <w:rsid w:val="004A674E"/>
    <w:rsid w:val="004C6B8A"/>
    <w:rsid w:val="004C7B46"/>
    <w:rsid w:val="004D169E"/>
    <w:rsid w:val="004D6832"/>
    <w:rsid w:val="004F2E65"/>
    <w:rsid w:val="00507661"/>
    <w:rsid w:val="005139B2"/>
    <w:rsid w:val="00547892"/>
    <w:rsid w:val="0055247E"/>
    <w:rsid w:val="005602BD"/>
    <w:rsid w:val="005608C0"/>
    <w:rsid w:val="0058176A"/>
    <w:rsid w:val="005A33F4"/>
    <w:rsid w:val="005A54A4"/>
    <w:rsid w:val="005B2147"/>
    <w:rsid w:val="005B2A0F"/>
    <w:rsid w:val="005B5D05"/>
    <w:rsid w:val="005C01A7"/>
    <w:rsid w:val="005D1F09"/>
    <w:rsid w:val="005D2530"/>
    <w:rsid w:val="005E31E5"/>
    <w:rsid w:val="005F2CDE"/>
    <w:rsid w:val="0060258C"/>
    <w:rsid w:val="00612403"/>
    <w:rsid w:val="00616999"/>
    <w:rsid w:val="00627E76"/>
    <w:rsid w:val="00633919"/>
    <w:rsid w:val="00650306"/>
    <w:rsid w:val="0065725E"/>
    <w:rsid w:val="00667074"/>
    <w:rsid w:val="00670873"/>
    <w:rsid w:val="00676A69"/>
    <w:rsid w:val="006874BA"/>
    <w:rsid w:val="00692304"/>
    <w:rsid w:val="00696F23"/>
    <w:rsid w:val="006A087C"/>
    <w:rsid w:val="006A211B"/>
    <w:rsid w:val="006A7643"/>
    <w:rsid w:val="006B0B36"/>
    <w:rsid w:val="006C23DF"/>
    <w:rsid w:val="006D0A55"/>
    <w:rsid w:val="006D2C85"/>
    <w:rsid w:val="006D4623"/>
    <w:rsid w:val="00701120"/>
    <w:rsid w:val="007052F8"/>
    <w:rsid w:val="00713C51"/>
    <w:rsid w:val="0073616D"/>
    <w:rsid w:val="00737AE7"/>
    <w:rsid w:val="0074187A"/>
    <w:rsid w:val="007429D1"/>
    <w:rsid w:val="00761F0F"/>
    <w:rsid w:val="007620D5"/>
    <w:rsid w:val="007924BE"/>
    <w:rsid w:val="00793EA7"/>
    <w:rsid w:val="0079435F"/>
    <w:rsid w:val="007B146C"/>
    <w:rsid w:val="007F08C6"/>
    <w:rsid w:val="007F1378"/>
    <w:rsid w:val="007F5140"/>
    <w:rsid w:val="00810163"/>
    <w:rsid w:val="00835E84"/>
    <w:rsid w:val="00845281"/>
    <w:rsid w:val="00865F8D"/>
    <w:rsid w:val="00880EFA"/>
    <w:rsid w:val="00894066"/>
    <w:rsid w:val="008A3BFD"/>
    <w:rsid w:val="008A50F5"/>
    <w:rsid w:val="008A5797"/>
    <w:rsid w:val="008B2877"/>
    <w:rsid w:val="008C0436"/>
    <w:rsid w:val="008D2470"/>
    <w:rsid w:val="008E2C02"/>
    <w:rsid w:val="008F41E5"/>
    <w:rsid w:val="008F672B"/>
    <w:rsid w:val="008F766A"/>
    <w:rsid w:val="00911592"/>
    <w:rsid w:val="00921F56"/>
    <w:rsid w:val="009233A4"/>
    <w:rsid w:val="00923478"/>
    <w:rsid w:val="00941420"/>
    <w:rsid w:val="009429F3"/>
    <w:rsid w:val="0094440D"/>
    <w:rsid w:val="00945093"/>
    <w:rsid w:val="00954166"/>
    <w:rsid w:val="00960FC5"/>
    <w:rsid w:val="009B1846"/>
    <w:rsid w:val="009C0AB4"/>
    <w:rsid w:val="009E13CC"/>
    <w:rsid w:val="009E1FC5"/>
    <w:rsid w:val="009E34A1"/>
    <w:rsid w:val="00A237E6"/>
    <w:rsid w:val="00A2739A"/>
    <w:rsid w:val="00A3443B"/>
    <w:rsid w:val="00A41601"/>
    <w:rsid w:val="00A7250B"/>
    <w:rsid w:val="00A74B2A"/>
    <w:rsid w:val="00AA51E0"/>
    <w:rsid w:val="00AA696F"/>
    <w:rsid w:val="00AB48CC"/>
    <w:rsid w:val="00AC7CBD"/>
    <w:rsid w:val="00AF328B"/>
    <w:rsid w:val="00AF6CFE"/>
    <w:rsid w:val="00B014AC"/>
    <w:rsid w:val="00B06D0B"/>
    <w:rsid w:val="00B07040"/>
    <w:rsid w:val="00B14EC1"/>
    <w:rsid w:val="00B22B5F"/>
    <w:rsid w:val="00B22D59"/>
    <w:rsid w:val="00B30250"/>
    <w:rsid w:val="00B56CE6"/>
    <w:rsid w:val="00B620E2"/>
    <w:rsid w:val="00B6384E"/>
    <w:rsid w:val="00B64DA5"/>
    <w:rsid w:val="00B6557B"/>
    <w:rsid w:val="00B72588"/>
    <w:rsid w:val="00BA681F"/>
    <w:rsid w:val="00BB71B8"/>
    <w:rsid w:val="00BE1AC0"/>
    <w:rsid w:val="00BE35C0"/>
    <w:rsid w:val="00BE5B5C"/>
    <w:rsid w:val="00BE6CC7"/>
    <w:rsid w:val="00BF3A45"/>
    <w:rsid w:val="00BF6333"/>
    <w:rsid w:val="00C14B92"/>
    <w:rsid w:val="00C22E4E"/>
    <w:rsid w:val="00C2496C"/>
    <w:rsid w:val="00C33D29"/>
    <w:rsid w:val="00C41FFC"/>
    <w:rsid w:val="00C61270"/>
    <w:rsid w:val="00C67E50"/>
    <w:rsid w:val="00C82048"/>
    <w:rsid w:val="00C82769"/>
    <w:rsid w:val="00C90FE7"/>
    <w:rsid w:val="00CC5639"/>
    <w:rsid w:val="00CD0B40"/>
    <w:rsid w:val="00CD7267"/>
    <w:rsid w:val="00CE2075"/>
    <w:rsid w:val="00CE405A"/>
    <w:rsid w:val="00D0346A"/>
    <w:rsid w:val="00D0654B"/>
    <w:rsid w:val="00D1528B"/>
    <w:rsid w:val="00D25A82"/>
    <w:rsid w:val="00D300D8"/>
    <w:rsid w:val="00D30F13"/>
    <w:rsid w:val="00D5343B"/>
    <w:rsid w:val="00D548BF"/>
    <w:rsid w:val="00D648B1"/>
    <w:rsid w:val="00D64EBD"/>
    <w:rsid w:val="00D672F6"/>
    <w:rsid w:val="00D776E8"/>
    <w:rsid w:val="00D839CC"/>
    <w:rsid w:val="00D83FC2"/>
    <w:rsid w:val="00D8609A"/>
    <w:rsid w:val="00DB0BB2"/>
    <w:rsid w:val="00DB20E5"/>
    <w:rsid w:val="00DB4066"/>
    <w:rsid w:val="00DB4542"/>
    <w:rsid w:val="00DB7BA6"/>
    <w:rsid w:val="00DE43BD"/>
    <w:rsid w:val="00DF6E7C"/>
    <w:rsid w:val="00DF78EA"/>
    <w:rsid w:val="00E12470"/>
    <w:rsid w:val="00E1631A"/>
    <w:rsid w:val="00E20E06"/>
    <w:rsid w:val="00E21B1B"/>
    <w:rsid w:val="00E2480B"/>
    <w:rsid w:val="00E3644C"/>
    <w:rsid w:val="00E3685C"/>
    <w:rsid w:val="00E42BB8"/>
    <w:rsid w:val="00E57840"/>
    <w:rsid w:val="00E62848"/>
    <w:rsid w:val="00E665CB"/>
    <w:rsid w:val="00E705D8"/>
    <w:rsid w:val="00E92989"/>
    <w:rsid w:val="00E93279"/>
    <w:rsid w:val="00E97EA2"/>
    <w:rsid w:val="00EA46E3"/>
    <w:rsid w:val="00EA7798"/>
    <w:rsid w:val="00EB1FF6"/>
    <w:rsid w:val="00EC3CA6"/>
    <w:rsid w:val="00EC6D52"/>
    <w:rsid w:val="00EC7B25"/>
    <w:rsid w:val="00ED176C"/>
    <w:rsid w:val="00ED3B0B"/>
    <w:rsid w:val="00EE385E"/>
    <w:rsid w:val="00EF0ED4"/>
    <w:rsid w:val="00EF1E96"/>
    <w:rsid w:val="00EF77C7"/>
    <w:rsid w:val="00F076C1"/>
    <w:rsid w:val="00F131CA"/>
    <w:rsid w:val="00F1375B"/>
    <w:rsid w:val="00F20AAF"/>
    <w:rsid w:val="00F225E7"/>
    <w:rsid w:val="00F243C3"/>
    <w:rsid w:val="00F31023"/>
    <w:rsid w:val="00F80D62"/>
    <w:rsid w:val="00F828F6"/>
    <w:rsid w:val="00F97C29"/>
    <w:rsid w:val="00FA5C19"/>
    <w:rsid w:val="00FA61C7"/>
    <w:rsid w:val="00FC0E2A"/>
    <w:rsid w:val="00FC36BA"/>
    <w:rsid w:val="00FD01DF"/>
    <w:rsid w:val="00FE2B0C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D5E1CF-6CA1-4FC7-97DC-1D7A08D1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326FE7"/>
    <w:pPr>
      <w:framePr w:w="7920" w:h="1980" w:hRule="exact" w:hSpace="180" w:wrap="auto" w:hAnchor="page" w:xAlign="center" w:yAlign="bottom"/>
      <w:ind w:left="2880"/>
    </w:pPr>
    <w:rPr>
      <w:b/>
      <w:smallCaps/>
    </w:rPr>
  </w:style>
  <w:style w:type="character" w:styleId="Hyperlink">
    <w:name w:val="Hyperlink"/>
    <w:basedOn w:val="DefaultParagraphFont"/>
    <w:uiPriority w:val="99"/>
    <w:rsid w:val="00865F8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4F2E6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2E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2E6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2E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2E6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46E3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42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B22FA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2FA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Interest</vt:lpstr>
    </vt:vector>
  </TitlesOfParts>
  <Company>MN Dept of Human Services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Interest</dc:title>
  <dc:creator>bill.vanderwall</dc:creator>
  <cp:lastModifiedBy>Mike Manhard</cp:lastModifiedBy>
  <cp:revision>2</cp:revision>
  <cp:lastPrinted>2013-09-06T16:54:00Z</cp:lastPrinted>
  <dcterms:created xsi:type="dcterms:W3CDTF">2015-11-19T03:03:00Z</dcterms:created>
  <dcterms:modified xsi:type="dcterms:W3CDTF">2015-11-19T03:03:00Z</dcterms:modified>
</cp:coreProperties>
</file>